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1F7985" w:rsidRDefault="007766DD" w:rsidP="00EB38E6">
      <w:pPr>
        <w:jc w:val="center"/>
        <w:rPr>
          <w:lang w:val="en-GB"/>
        </w:rPr>
      </w:pPr>
      <w:r w:rsidRPr="001F7985">
        <w:rPr>
          <w:noProof/>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03B95" w:rsidRDefault="00203B95" w:rsidP="00EB38E6">
      <w:pPr>
        <w:autoSpaceDE w:val="0"/>
        <w:ind w:hanging="11"/>
        <w:jc w:val="center"/>
        <w:rPr>
          <w:b/>
          <w:bCs/>
          <w:lang w:val="en-GB"/>
        </w:rPr>
      </w:pPr>
    </w:p>
    <w:p w:rsidR="000F7E70" w:rsidRPr="001F7985" w:rsidRDefault="000F7E70" w:rsidP="00EB38E6">
      <w:pPr>
        <w:autoSpaceDE w:val="0"/>
        <w:ind w:hanging="11"/>
        <w:jc w:val="center"/>
        <w:rPr>
          <w:b/>
          <w:bCs/>
          <w:lang w:val="en-GB"/>
        </w:rPr>
      </w:pPr>
      <w:r w:rsidRPr="001F7985">
        <w:rPr>
          <w:b/>
          <w:bCs/>
          <w:lang w:val="en-GB"/>
        </w:rPr>
        <w:t>OPINION</w:t>
      </w:r>
    </w:p>
    <w:p w:rsidR="002D602F" w:rsidRDefault="002D602F" w:rsidP="000F7E70">
      <w:pPr>
        <w:autoSpaceDE w:val="0"/>
        <w:jc w:val="both"/>
        <w:rPr>
          <w:b/>
          <w:bCs/>
          <w:lang w:val="en-GB"/>
        </w:rPr>
      </w:pPr>
    </w:p>
    <w:p w:rsidR="000F7E70" w:rsidRPr="001F7985" w:rsidRDefault="000F7E70" w:rsidP="000F7E70">
      <w:pPr>
        <w:autoSpaceDE w:val="0"/>
        <w:jc w:val="both"/>
        <w:rPr>
          <w:b/>
          <w:bCs/>
          <w:lang w:val="en-GB"/>
        </w:rPr>
      </w:pPr>
      <w:r w:rsidRPr="00E17FE1">
        <w:rPr>
          <w:b/>
          <w:bCs/>
          <w:lang w:val="en-GB"/>
        </w:rPr>
        <w:t xml:space="preserve">Date of adoption: </w:t>
      </w:r>
      <w:r w:rsidR="00E17FE1" w:rsidRPr="00E17FE1">
        <w:rPr>
          <w:b/>
          <w:bCs/>
          <w:lang w:val="en-GB"/>
        </w:rPr>
        <w:t>17</w:t>
      </w:r>
      <w:r w:rsidR="00A6045A" w:rsidRPr="00E17FE1">
        <w:rPr>
          <w:b/>
          <w:bCs/>
          <w:lang w:val="en-GB"/>
        </w:rPr>
        <w:t xml:space="preserve"> October </w:t>
      </w:r>
      <w:r w:rsidRPr="00E17FE1">
        <w:rPr>
          <w:b/>
          <w:bCs/>
          <w:lang w:val="en-GB"/>
        </w:rPr>
        <w:t>20</w:t>
      </w:r>
      <w:r w:rsidR="00C905F1" w:rsidRPr="00E17FE1">
        <w:rPr>
          <w:b/>
          <w:bCs/>
          <w:lang w:val="en-GB"/>
        </w:rPr>
        <w:t>1</w:t>
      </w:r>
      <w:r w:rsidR="000A65EB" w:rsidRPr="00E17FE1">
        <w:rPr>
          <w:b/>
          <w:bCs/>
          <w:lang w:val="en-GB"/>
        </w:rPr>
        <w:t>4</w:t>
      </w:r>
    </w:p>
    <w:p w:rsidR="005748E9" w:rsidRDefault="005748E9" w:rsidP="005748E9">
      <w:pPr>
        <w:autoSpaceDE w:val="0"/>
        <w:autoSpaceDN w:val="0"/>
        <w:adjustRightInd w:val="0"/>
        <w:jc w:val="both"/>
        <w:rPr>
          <w:b/>
          <w:bCs/>
          <w:lang w:val="en-GB"/>
        </w:rPr>
      </w:pPr>
    </w:p>
    <w:p w:rsidR="005748E9" w:rsidRPr="00143D97" w:rsidRDefault="00A6045A" w:rsidP="005748E9">
      <w:pPr>
        <w:autoSpaceDE w:val="0"/>
        <w:autoSpaceDN w:val="0"/>
        <w:adjustRightInd w:val="0"/>
        <w:jc w:val="both"/>
        <w:rPr>
          <w:b/>
          <w:bCs/>
          <w:lang w:val="en-GB"/>
        </w:rPr>
      </w:pPr>
      <w:r>
        <w:rPr>
          <w:b/>
          <w:bCs/>
          <w:lang w:val="en-GB"/>
        </w:rPr>
        <w:t>Case No. 252</w:t>
      </w:r>
      <w:r w:rsidR="005748E9" w:rsidRPr="00143D97">
        <w:rPr>
          <w:b/>
          <w:bCs/>
          <w:lang w:val="en-GB"/>
        </w:rPr>
        <w:t>/09</w:t>
      </w:r>
    </w:p>
    <w:p w:rsidR="005748E9" w:rsidRPr="00143D97" w:rsidRDefault="005748E9" w:rsidP="005748E9">
      <w:pPr>
        <w:autoSpaceDE w:val="0"/>
        <w:autoSpaceDN w:val="0"/>
        <w:adjustRightInd w:val="0"/>
        <w:jc w:val="both"/>
        <w:rPr>
          <w:b/>
          <w:bCs/>
          <w:lang w:val="en-GB"/>
        </w:rPr>
      </w:pPr>
    </w:p>
    <w:p w:rsidR="009E6063" w:rsidRPr="001F7985" w:rsidRDefault="00A6045A" w:rsidP="00E327E1">
      <w:pPr>
        <w:autoSpaceDE w:val="0"/>
        <w:autoSpaceDN w:val="0"/>
        <w:adjustRightInd w:val="0"/>
        <w:jc w:val="both"/>
        <w:rPr>
          <w:b/>
          <w:bCs/>
          <w:lang w:val="en-GB"/>
        </w:rPr>
      </w:pPr>
      <w:proofErr w:type="spellStart"/>
      <w:r w:rsidRPr="00A6045A">
        <w:rPr>
          <w:b/>
          <w:bCs/>
          <w:lang w:val="en-GB"/>
        </w:rPr>
        <w:t>Verica</w:t>
      </w:r>
      <w:proofErr w:type="spellEnd"/>
      <w:r w:rsidRPr="00A6045A">
        <w:rPr>
          <w:b/>
          <w:bCs/>
          <w:lang w:val="en-GB"/>
        </w:rPr>
        <w:t xml:space="preserve"> </w:t>
      </w:r>
      <w:bookmarkStart w:id="0" w:name="_GoBack"/>
      <w:r w:rsidRPr="00A6045A">
        <w:rPr>
          <w:b/>
          <w:bCs/>
          <w:lang w:val="en-GB"/>
        </w:rPr>
        <w:t>PATRNOGIĆ</w:t>
      </w:r>
    </w:p>
    <w:bookmarkEnd w:id="0"/>
    <w:p w:rsidR="00DC1ED1" w:rsidRDefault="00DC1ED1" w:rsidP="000F7E70">
      <w:pPr>
        <w:autoSpaceDE w:val="0"/>
        <w:jc w:val="both"/>
        <w:rPr>
          <w:b/>
          <w:bCs/>
          <w:lang w:val="en-GB"/>
        </w:rPr>
      </w:pPr>
    </w:p>
    <w:p w:rsidR="000F7E70" w:rsidRPr="001F7985" w:rsidRDefault="000F7E70" w:rsidP="000F7E70">
      <w:pPr>
        <w:autoSpaceDE w:val="0"/>
        <w:jc w:val="both"/>
        <w:rPr>
          <w:bCs/>
          <w:lang w:val="en-GB"/>
        </w:rPr>
      </w:pPr>
      <w:proofErr w:type="gramStart"/>
      <w:r w:rsidRPr="001F7985">
        <w:rPr>
          <w:b/>
          <w:bCs/>
          <w:lang w:val="en-GB"/>
        </w:rPr>
        <w:t>against</w:t>
      </w:r>
      <w:proofErr w:type="gramEnd"/>
    </w:p>
    <w:p w:rsidR="000F7E70" w:rsidRPr="001F7985" w:rsidRDefault="000F7E70" w:rsidP="000F7E70">
      <w:pPr>
        <w:autoSpaceDE w:val="0"/>
        <w:jc w:val="both"/>
        <w:rPr>
          <w:b/>
          <w:bCs/>
          <w:lang w:val="en-GB"/>
        </w:rPr>
      </w:pPr>
      <w:r w:rsidRPr="001F7985">
        <w:rPr>
          <w:b/>
          <w:bCs/>
          <w:lang w:val="en-GB"/>
        </w:rPr>
        <w:t xml:space="preserve"> </w:t>
      </w:r>
    </w:p>
    <w:p w:rsidR="000F7E70" w:rsidRPr="001F7985" w:rsidRDefault="000F7E70" w:rsidP="000F7E70">
      <w:pPr>
        <w:autoSpaceDE w:val="0"/>
        <w:jc w:val="both"/>
        <w:rPr>
          <w:b/>
          <w:bCs/>
          <w:lang w:val="en-GB"/>
        </w:rPr>
      </w:pPr>
      <w:r w:rsidRPr="001F7985">
        <w:rPr>
          <w:b/>
          <w:bCs/>
          <w:lang w:val="en-GB"/>
        </w:rPr>
        <w:t xml:space="preserve">UNMIK </w:t>
      </w:r>
    </w:p>
    <w:p w:rsidR="00E07C8C" w:rsidRPr="001F7985" w:rsidRDefault="00E07C8C" w:rsidP="000F7E70">
      <w:pPr>
        <w:autoSpaceDE w:val="0"/>
        <w:jc w:val="both"/>
        <w:rPr>
          <w:b/>
          <w:bCs/>
          <w:lang w:val="en-GB"/>
        </w:rPr>
      </w:pPr>
    </w:p>
    <w:p w:rsidR="004202B2" w:rsidRPr="001F7985" w:rsidRDefault="004202B2" w:rsidP="000F7E70">
      <w:pPr>
        <w:autoSpaceDE w:val="0"/>
        <w:jc w:val="both"/>
        <w:rPr>
          <w:b/>
          <w:bCs/>
          <w:lang w:val="en-GB"/>
        </w:rPr>
      </w:pPr>
    </w:p>
    <w:p w:rsidR="000F7E70" w:rsidRPr="001F7985" w:rsidRDefault="000F7E70" w:rsidP="000F7E70">
      <w:pPr>
        <w:autoSpaceDE w:val="0"/>
        <w:jc w:val="both"/>
        <w:rPr>
          <w:lang w:val="en-GB"/>
        </w:rPr>
      </w:pPr>
      <w:r w:rsidRPr="001F7985">
        <w:rPr>
          <w:lang w:val="en-GB"/>
        </w:rPr>
        <w:t>The Human Rights Advisory Panel</w:t>
      </w:r>
      <w:r w:rsidR="00BD28B4" w:rsidRPr="001F7985">
        <w:rPr>
          <w:lang w:val="en-GB"/>
        </w:rPr>
        <w:t>,</w:t>
      </w:r>
      <w:r w:rsidR="00DC1ED1">
        <w:rPr>
          <w:lang w:val="en-GB"/>
        </w:rPr>
        <w:t xml:space="preserve"> </w:t>
      </w:r>
      <w:r w:rsidRPr="001F7985">
        <w:rPr>
          <w:lang w:val="en-GB"/>
        </w:rPr>
        <w:t>on</w:t>
      </w:r>
      <w:r w:rsidR="001A08B0" w:rsidRPr="001F7985">
        <w:rPr>
          <w:lang w:val="en-GB"/>
        </w:rPr>
        <w:t xml:space="preserve"> </w:t>
      </w:r>
      <w:r w:rsidR="00E17FE1">
        <w:rPr>
          <w:lang w:val="en-GB"/>
        </w:rPr>
        <w:t>17</w:t>
      </w:r>
      <w:r w:rsidR="00A6045A">
        <w:rPr>
          <w:lang w:val="en-GB"/>
        </w:rPr>
        <w:t xml:space="preserve"> October</w:t>
      </w:r>
      <w:r w:rsidR="00E327E1" w:rsidRPr="002B48E6">
        <w:rPr>
          <w:lang w:val="en-GB"/>
        </w:rPr>
        <w:t xml:space="preserve"> </w:t>
      </w:r>
      <w:r w:rsidR="00173F75" w:rsidRPr="002B48E6">
        <w:rPr>
          <w:lang w:val="en-GB"/>
        </w:rPr>
        <w:t>20</w:t>
      </w:r>
      <w:r w:rsidR="005917EC" w:rsidRPr="002B48E6">
        <w:rPr>
          <w:lang w:val="en-GB"/>
        </w:rPr>
        <w:t>1</w:t>
      </w:r>
      <w:r w:rsidR="000A65EB" w:rsidRPr="002B48E6">
        <w:rPr>
          <w:lang w:val="en-GB"/>
        </w:rPr>
        <w:t>4</w:t>
      </w:r>
      <w:r w:rsidR="00E327E1" w:rsidRPr="002B48E6">
        <w:rPr>
          <w:lang w:val="en-GB"/>
        </w:rPr>
        <w:t>,</w:t>
      </w:r>
    </w:p>
    <w:p w:rsidR="004D6157" w:rsidRPr="00523854" w:rsidRDefault="000F7E70" w:rsidP="004D6157">
      <w:pPr>
        <w:autoSpaceDE w:val="0"/>
        <w:jc w:val="both"/>
        <w:rPr>
          <w:lang w:val="en-GB"/>
        </w:rPr>
      </w:pPr>
      <w:proofErr w:type="gramStart"/>
      <w:r w:rsidRPr="001F7985">
        <w:rPr>
          <w:lang w:val="en-GB"/>
        </w:rPr>
        <w:t>with</w:t>
      </w:r>
      <w:proofErr w:type="gramEnd"/>
      <w:r w:rsidRPr="001F7985">
        <w:rPr>
          <w:lang w:val="en-GB"/>
        </w:rPr>
        <w:t xml:space="preserve"> the following members</w:t>
      </w:r>
      <w:r w:rsidR="00301DAC">
        <w:rPr>
          <w:lang w:val="en-GB"/>
        </w:rPr>
        <w:t xml:space="preserve"> </w:t>
      </w:r>
      <w:r w:rsidR="00DC1ED1">
        <w:rPr>
          <w:lang w:val="en-GB"/>
        </w:rPr>
        <w:t>t</w:t>
      </w:r>
      <w:r w:rsidR="00A6045A">
        <w:rPr>
          <w:lang w:val="en-GB"/>
        </w:rPr>
        <w:t>aking part</w:t>
      </w:r>
      <w:r w:rsidR="004D6157" w:rsidRPr="00523854">
        <w:rPr>
          <w:lang w:val="en-GB"/>
        </w:rPr>
        <w:t>:</w:t>
      </w:r>
    </w:p>
    <w:p w:rsidR="004D6157" w:rsidRPr="00523854" w:rsidRDefault="004D6157" w:rsidP="004D6157">
      <w:pPr>
        <w:autoSpaceDE w:val="0"/>
        <w:jc w:val="both"/>
        <w:rPr>
          <w:lang w:val="en-GB"/>
        </w:rPr>
      </w:pPr>
    </w:p>
    <w:p w:rsidR="004D6157" w:rsidRPr="008F2CBE" w:rsidRDefault="004D6157" w:rsidP="004D6157">
      <w:pPr>
        <w:autoSpaceDE w:val="0"/>
        <w:jc w:val="both"/>
        <w:rPr>
          <w:lang w:val="en-GB"/>
        </w:rPr>
      </w:pPr>
      <w:r w:rsidRPr="00523854">
        <w:rPr>
          <w:lang w:val="en-GB"/>
        </w:rPr>
        <w:t>Marek Nowicki, Presiding Member</w:t>
      </w:r>
    </w:p>
    <w:p w:rsidR="004D6157" w:rsidRPr="008F2CBE" w:rsidRDefault="004D6157" w:rsidP="004D6157">
      <w:pPr>
        <w:autoSpaceDE w:val="0"/>
        <w:jc w:val="both"/>
        <w:rPr>
          <w:lang w:val="en-GB"/>
        </w:rPr>
      </w:pPr>
      <w:r w:rsidRPr="008F2CBE">
        <w:rPr>
          <w:lang w:val="en-GB"/>
        </w:rPr>
        <w:t>Christine Chinkin</w:t>
      </w:r>
    </w:p>
    <w:p w:rsidR="004D6157" w:rsidRPr="008F2CBE" w:rsidRDefault="004D6157" w:rsidP="004D6157">
      <w:pPr>
        <w:autoSpaceDE w:val="0"/>
        <w:jc w:val="both"/>
        <w:rPr>
          <w:color w:val="FF0000"/>
          <w:lang w:val="en-GB"/>
        </w:rPr>
      </w:pPr>
      <w:r w:rsidRPr="008F2CBE">
        <w:rPr>
          <w:lang w:val="en-GB"/>
        </w:rPr>
        <w:t>Françoise Tulkens</w:t>
      </w:r>
    </w:p>
    <w:p w:rsidR="004D6157" w:rsidRPr="008F2CBE" w:rsidRDefault="004D6157" w:rsidP="004D6157">
      <w:pPr>
        <w:autoSpaceDE w:val="0"/>
        <w:jc w:val="both"/>
        <w:rPr>
          <w:lang w:val="en-GB"/>
        </w:rPr>
      </w:pPr>
    </w:p>
    <w:p w:rsidR="004D6157" w:rsidRPr="008F2CBE" w:rsidRDefault="004D6157" w:rsidP="004D6157">
      <w:pPr>
        <w:autoSpaceDE w:val="0"/>
        <w:jc w:val="both"/>
        <w:rPr>
          <w:lang w:val="en-GB"/>
        </w:rPr>
      </w:pPr>
      <w:r w:rsidRPr="008F2CBE">
        <w:rPr>
          <w:lang w:val="en-GB"/>
        </w:rPr>
        <w:t>Assisted by</w:t>
      </w:r>
    </w:p>
    <w:p w:rsidR="004D6157" w:rsidRPr="008F2CBE" w:rsidRDefault="004D6157" w:rsidP="004D6157">
      <w:pPr>
        <w:autoSpaceDE w:val="0"/>
        <w:jc w:val="both"/>
        <w:rPr>
          <w:lang w:val="en-GB"/>
        </w:rPr>
      </w:pPr>
    </w:p>
    <w:p w:rsidR="004D6157" w:rsidRPr="008F2CBE" w:rsidRDefault="00A6045A" w:rsidP="004D6157">
      <w:pPr>
        <w:autoSpaceDE w:val="0"/>
        <w:jc w:val="both"/>
        <w:rPr>
          <w:lang w:val="en-GB"/>
        </w:rPr>
      </w:pPr>
      <w:r>
        <w:rPr>
          <w:lang w:val="en-GB"/>
        </w:rPr>
        <w:t>Andrey Antonov</w:t>
      </w:r>
      <w:r w:rsidR="004D6157" w:rsidRPr="008F2CBE">
        <w:rPr>
          <w:lang w:val="en-GB"/>
        </w:rPr>
        <w:t>,</w:t>
      </w:r>
      <w:r>
        <w:rPr>
          <w:lang w:val="en-GB"/>
        </w:rPr>
        <w:t xml:space="preserve"> </w:t>
      </w:r>
      <w:r w:rsidR="004D6157" w:rsidRPr="008F2CBE">
        <w:rPr>
          <w:lang w:val="en-GB"/>
        </w:rPr>
        <w:t>Executive Officer</w:t>
      </w:r>
    </w:p>
    <w:p w:rsidR="004D6157" w:rsidRPr="008F2CBE" w:rsidRDefault="004D6157" w:rsidP="004D6157">
      <w:pPr>
        <w:autoSpaceDE w:val="0"/>
        <w:jc w:val="both"/>
        <w:rPr>
          <w:lang w:val="en-GB"/>
        </w:rPr>
      </w:pPr>
    </w:p>
    <w:p w:rsidR="004D6157" w:rsidRPr="008F2CBE" w:rsidRDefault="004D6157" w:rsidP="004D6157">
      <w:pPr>
        <w:autoSpaceDE w:val="0"/>
        <w:jc w:val="both"/>
        <w:rPr>
          <w:lang w:val="en-GB"/>
        </w:rPr>
      </w:pPr>
    </w:p>
    <w:p w:rsidR="004D6157" w:rsidRPr="00E17FE1" w:rsidRDefault="004D6157" w:rsidP="004D6157">
      <w:pPr>
        <w:autoSpaceDE w:val="0"/>
        <w:jc w:val="both"/>
        <w:rPr>
          <w:lang w:val="en-GB"/>
        </w:rPr>
      </w:pPr>
      <w:r w:rsidRPr="008F2CBE">
        <w:rPr>
          <w:lang w:val="en-GB"/>
        </w:rPr>
        <w:t>Having consider</w:t>
      </w:r>
      <w:r w:rsidR="00596005">
        <w:rPr>
          <w:lang w:val="en-GB"/>
        </w:rPr>
        <w:t>ed the aforementioned complaint</w:t>
      </w:r>
      <w:r w:rsidRPr="008F2CBE">
        <w:rPr>
          <w:lang w:val="en-GB"/>
        </w:rPr>
        <w:t xml:space="preserve">, introduced pursuant to Section 1.2 of UNMIK Regulation No. 2006/12 of 23 March 2006 on the establishment of the Human Rights </w:t>
      </w:r>
      <w:r w:rsidRPr="000253E8">
        <w:rPr>
          <w:lang w:val="en-GB"/>
        </w:rPr>
        <w:t xml:space="preserve">Advisory </w:t>
      </w:r>
      <w:r w:rsidRPr="00E17FE1">
        <w:rPr>
          <w:lang w:val="en-GB"/>
        </w:rPr>
        <w:t>Panel,</w:t>
      </w:r>
    </w:p>
    <w:p w:rsidR="004D6157" w:rsidRPr="00E17FE1" w:rsidRDefault="004D6157" w:rsidP="004D6157">
      <w:pPr>
        <w:autoSpaceDE w:val="0"/>
        <w:jc w:val="both"/>
        <w:rPr>
          <w:lang w:val="en-GB"/>
        </w:rPr>
      </w:pPr>
    </w:p>
    <w:p w:rsidR="004D6157" w:rsidRPr="008F2CBE" w:rsidRDefault="004D6157" w:rsidP="003A521C">
      <w:pPr>
        <w:autoSpaceDE w:val="0"/>
        <w:jc w:val="both"/>
        <w:rPr>
          <w:lang w:val="en-GB"/>
        </w:rPr>
      </w:pPr>
      <w:r w:rsidRPr="00E17FE1">
        <w:rPr>
          <w:lang w:val="en-GB"/>
        </w:rPr>
        <w:t>Having deliberated,</w:t>
      </w:r>
      <w:r w:rsidR="00883E76" w:rsidRPr="00E17FE1">
        <w:rPr>
          <w:lang w:val="en-GB"/>
        </w:rPr>
        <w:t xml:space="preserve"> </w:t>
      </w:r>
      <w:r w:rsidR="003A521C" w:rsidRPr="00E17FE1">
        <w:rPr>
          <w:lang w:val="en-GB"/>
        </w:rPr>
        <w:t xml:space="preserve">including through electronic means, in accordance with Rule 13 § 2 of its Rules of Procedure </w:t>
      </w:r>
      <w:proofErr w:type="gramStart"/>
      <w:r w:rsidRPr="00E17FE1">
        <w:rPr>
          <w:lang w:val="en-GB"/>
        </w:rPr>
        <w:t>makes</w:t>
      </w:r>
      <w:proofErr w:type="gramEnd"/>
      <w:r w:rsidRPr="00E17FE1">
        <w:rPr>
          <w:lang w:val="en-GB"/>
        </w:rPr>
        <w:t xml:space="preserve"> the following findings and recommendations:</w:t>
      </w:r>
    </w:p>
    <w:p w:rsidR="00022E69" w:rsidRDefault="00022E69" w:rsidP="004D6157">
      <w:pPr>
        <w:autoSpaceDE w:val="0"/>
        <w:jc w:val="both"/>
        <w:rPr>
          <w:lang w:val="en-GB"/>
        </w:rPr>
      </w:pPr>
    </w:p>
    <w:p w:rsidR="00C56AB3" w:rsidRPr="001F7985" w:rsidRDefault="00C56AB3" w:rsidP="004D6157">
      <w:pPr>
        <w:autoSpaceDE w:val="0"/>
        <w:jc w:val="both"/>
        <w:rPr>
          <w:lang w:val="en-GB"/>
        </w:rPr>
      </w:pPr>
    </w:p>
    <w:p w:rsidR="0016154E" w:rsidRPr="001F7985" w:rsidRDefault="0016154E" w:rsidP="00B50188">
      <w:pPr>
        <w:numPr>
          <w:ilvl w:val="0"/>
          <w:numId w:val="1"/>
        </w:numPr>
        <w:suppressAutoHyphens/>
        <w:autoSpaceDE w:val="0"/>
        <w:ind w:left="360" w:hanging="360"/>
        <w:jc w:val="both"/>
        <w:rPr>
          <w:b/>
          <w:bCs/>
          <w:lang w:val="en-GB"/>
        </w:rPr>
      </w:pPr>
      <w:r w:rsidRPr="001F7985">
        <w:rPr>
          <w:b/>
          <w:bCs/>
          <w:lang w:val="en-GB"/>
        </w:rPr>
        <w:t>PROCEEDINGS BEFORE THE PANEL</w:t>
      </w:r>
    </w:p>
    <w:p w:rsidR="00DC1ED1" w:rsidRPr="00596005" w:rsidRDefault="00DC1ED1" w:rsidP="00883E76">
      <w:pPr>
        <w:autoSpaceDE w:val="0"/>
        <w:autoSpaceDN w:val="0"/>
        <w:adjustRightInd w:val="0"/>
        <w:jc w:val="both"/>
        <w:rPr>
          <w:color w:val="000000"/>
          <w:lang w:val="en-GB" w:eastAsia="nl-NL"/>
        </w:rPr>
      </w:pPr>
    </w:p>
    <w:p w:rsidR="00A6045A" w:rsidRDefault="00A6045A" w:rsidP="00A6045A">
      <w:pPr>
        <w:numPr>
          <w:ilvl w:val="0"/>
          <w:numId w:val="12"/>
        </w:numPr>
        <w:autoSpaceDE w:val="0"/>
        <w:autoSpaceDN w:val="0"/>
        <w:adjustRightInd w:val="0"/>
        <w:jc w:val="both"/>
        <w:rPr>
          <w:color w:val="000000"/>
          <w:lang w:val="en-GB" w:eastAsia="nl-NL"/>
        </w:rPr>
      </w:pPr>
      <w:r w:rsidRPr="00A6045A">
        <w:rPr>
          <w:color w:val="000000"/>
          <w:lang w:val="en-GB" w:eastAsia="nl-NL"/>
        </w:rPr>
        <w:t xml:space="preserve">The complaint was introduced on 10 April 2009 and registered on 30 April 2009. </w:t>
      </w:r>
    </w:p>
    <w:p w:rsidR="00A6045A" w:rsidRDefault="00A6045A" w:rsidP="00A6045A">
      <w:pPr>
        <w:autoSpaceDE w:val="0"/>
        <w:autoSpaceDN w:val="0"/>
        <w:adjustRightInd w:val="0"/>
        <w:ind w:left="360"/>
        <w:jc w:val="both"/>
        <w:rPr>
          <w:color w:val="000000"/>
          <w:lang w:val="en-GB" w:eastAsia="nl-NL"/>
        </w:rPr>
      </w:pPr>
    </w:p>
    <w:p w:rsidR="00A6045A" w:rsidRPr="00A6045A" w:rsidRDefault="00A6045A" w:rsidP="00A6045A">
      <w:pPr>
        <w:numPr>
          <w:ilvl w:val="0"/>
          <w:numId w:val="12"/>
        </w:numPr>
        <w:autoSpaceDE w:val="0"/>
        <w:autoSpaceDN w:val="0"/>
        <w:adjustRightInd w:val="0"/>
        <w:jc w:val="both"/>
        <w:rPr>
          <w:color w:val="000000"/>
          <w:lang w:val="en-GB" w:eastAsia="nl-NL"/>
        </w:rPr>
      </w:pPr>
      <w:r w:rsidRPr="00A6045A">
        <w:rPr>
          <w:color w:val="000000"/>
          <w:lang w:val="en-GB" w:eastAsia="nl-NL"/>
        </w:rPr>
        <w:t xml:space="preserve">On 23 December 2009, the Panel requested additional information from the complainant. </w:t>
      </w:r>
    </w:p>
    <w:p w:rsidR="00A6045A" w:rsidRDefault="00A6045A" w:rsidP="00A6045A">
      <w:pPr>
        <w:autoSpaceDE w:val="0"/>
        <w:autoSpaceDN w:val="0"/>
        <w:adjustRightInd w:val="0"/>
        <w:ind w:left="360"/>
        <w:jc w:val="both"/>
        <w:rPr>
          <w:color w:val="000000"/>
          <w:lang w:val="en-GB" w:eastAsia="nl-NL"/>
        </w:rPr>
      </w:pPr>
      <w:r w:rsidRPr="00A6045A">
        <w:rPr>
          <w:color w:val="000000"/>
          <w:lang w:val="en-GB" w:eastAsia="nl-NL"/>
        </w:rPr>
        <w:t xml:space="preserve">However, no response was received. </w:t>
      </w:r>
    </w:p>
    <w:p w:rsidR="00A6045A" w:rsidRPr="00A6045A" w:rsidRDefault="00A6045A" w:rsidP="00A6045A">
      <w:pPr>
        <w:autoSpaceDE w:val="0"/>
        <w:autoSpaceDN w:val="0"/>
        <w:adjustRightInd w:val="0"/>
        <w:ind w:left="360"/>
        <w:jc w:val="both"/>
        <w:rPr>
          <w:color w:val="000000"/>
          <w:lang w:val="en-GB" w:eastAsia="nl-NL"/>
        </w:rPr>
      </w:pPr>
    </w:p>
    <w:p w:rsidR="00A6045A" w:rsidRDefault="00A6045A" w:rsidP="00A6045A">
      <w:pPr>
        <w:numPr>
          <w:ilvl w:val="0"/>
          <w:numId w:val="12"/>
        </w:numPr>
        <w:autoSpaceDE w:val="0"/>
        <w:autoSpaceDN w:val="0"/>
        <w:adjustRightInd w:val="0"/>
        <w:jc w:val="both"/>
        <w:rPr>
          <w:color w:val="000000"/>
          <w:lang w:val="en-GB" w:eastAsia="nl-NL"/>
        </w:rPr>
      </w:pPr>
      <w:r w:rsidRPr="00A6045A">
        <w:rPr>
          <w:color w:val="000000"/>
          <w:lang w:val="en-GB" w:eastAsia="nl-NL"/>
        </w:rPr>
        <w:t>On 13 October 2010, the Panel reiterated its request for additional information to the complainant. The Panel received the complainant’s response on 25 October 2010.</w:t>
      </w:r>
    </w:p>
    <w:p w:rsidR="00DC1ED1" w:rsidRPr="00596005" w:rsidRDefault="00DC1ED1" w:rsidP="00DC1ED1">
      <w:pPr>
        <w:ind w:left="720"/>
        <w:rPr>
          <w:lang w:val="en-GB" w:eastAsia="en-GB"/>
        </w:rPr>
      </w:pPr>
    </w:p>
    <w:p w:rsidR="00DC1ED1" w:rsidRPr="00596005" w:rsidRDefault="00A6045A" w:rsidP="00DC1ED1">
      <w:pPr>
        <w:numPr>
          <w:ilvl w:val="0"/>
          <w:numId w:val="12"/>
        </w:numPr>
        <w:autoSpaceDE w:val="0"/>
        <w:autoSpaceDN w:val="0"/>
        <w:adjustRightInd w:val="0"/>
        <w:jc w:val="both"/>
        <w:rPr>
          <w:color w:val="000000"/>
          <w:lang w:val="en-GB" w:eastAsia="nl-NL"/>
        </w:rPr>
      </w:pPr>
      <w:r>
        <w:rPr>
          <w:color w:val="000000"/>
          <w:lang w:val="en-GB" w:eastAsia="nl-NL"/>
        </w:rPr>
        <w:t xml:space="preserve">On 19 April </w:t>
      </w:r>
      <w:r w:rsidR="00DC1ED1" w:rsidRPr="00596005">
        <w:rPr>
          <w:color w:val="000000"/>
          <w:lang w:val="en-GB" w:eastAsia="nl-NL"/>
        </w:rPr>
        <w:t xml:space="preserve">2011, the Panel communicated the case to the Special Representative of the Secretary-General </w:t>
      </w:r>
      <w:r w:rsidR="00DC1ED1" w:rsidRPr="00596005">
        <w:rPr>
          <w:lang w:val="en-GB"/>
        </w:rPr>
        <w:t>(SRSG)</w:t>
      </w:r>
      <w:r w:rsidR="00DC1ED1" w:rsidRPr="00596005">
        <w:rPr>
          <w:rStyle w:val="FootnoteReference"/>
          <w:lang w:val="en-GB"/>
        </w:rPr>
        <w:footnoteReference w:id="1"/>
      </w:r>
      <w:r w:rsidR="00DC1ED1" w:rsidRPr="00596005">
        <w:rPr>
          <w:lang w:val="en-GB"/>
        </w:rPr>
        <w:t xml:space="preserve">, </w:t>
      </w:r>
      <w:r w:rsidR="00DC1ED1" w:rsidRPr="00596005">
        <w:rPr>
          <w:color w:val="000000"/>
          <w:lang w:val="en-GB" w:eastAsia="nl-NL"/>
        </w:rPr>
        <w:t xml:space="preserve">for UNMIK’s comments on admissibility. </w:t>
      </w:r>
      <w:r>
        <w:rPr>
          <w:color w:val="000000"/>
          <w:lang w:val="en-GB" w:eastAsia="nl-NL"/>
        </w:rPr>
        <w:t xml:space="preserve">The SRSG submitted UNMIK’s response on 31 May 2011. </w:t>
      </w:r>
      <w:r w:rsidR="00DC1ED1" w:rsidRPr="00596005">
        <w:rPr>
          <w:color w:val="000000"/>
          <w:lang w:val="en-GB" w:eastAsia="nl-NL"/>
        </w:rPr>
        <w:t xml:space="preserve"> </w:t>
      </w:r>
    </w:p>
    <w:p w:rsidR="00DC1ED1" w:rsidRPr="00596005" w:rsidRDefault="00DC1ED1" w:rsidP="00DC1ED1">
      <w:pPr>
        <w:pStyle w:val="ListParagraph"/>
        <w:rPr>
          <w:lang w:val="en-GB"/>
        </w:rPr>
      </w:pPr>
    </w:p>
    <w:p w:rsidR="00DC1ED1" w:rsidRPr="00596005" w:rsidRDefault="00E327E1" w:rsidP="00DC1ED1">
      <w:pPr>
        <w:numPr>
          <w:ilvl w:val="0"/>
          <w:numId w:val="12"/>
        </w:numPr>
        <w:autoSpaceDE w:val="0"/>
        <w:autoSpaceDN w:val="0"/>
        <w:adjustRightInd w:val="0"/>
        <w:jc w:val="both"/>
        <w:rPr>
          <w:color w:val="000000"/>
          <w:lang w:val="en-GB" w:eastAsia="nl-NL"/>
        </w:rPr>
      </w:pPr>
      <w:r w:rsidRPr="00596005">
        <w:rPr>
          <w:lang w:val="en-GB"/>
        </w:rPr>
        <w:t xml:space="preserve">On </w:t>
      </w:r>
      <w:r w:rsidR="00A6045A">
        <w:rPr>
          <w:lang w:val="en-GB"/>
        </w:rPr>
        <w:t>16 December 2011</w:t>
      </w:r>
      <w:r w:rsidRPr="00596005">
        <w:rPr>
          <w:lang w:val="en-GB"/>
        </w:rPr>
        <w:t>, t</w:t>
      </w:r>
      <w:r w:rsidR="007766DD" w:rsidRPr="00596005">
        <w:rPr>
          <w:lang w:val="en-GB"/>
        </w:rPr>
        <w:t>he Panel declared the complaint</w:t>
      </w:r>
      <w:r w:rsidR="003A521C">
        <w:rPr>
          <w:lang w:val="en-GB"/>
        </w:rPr>
        <w:t xml:space="preserve"> partially</w:t>
      </w:r>
      <w:r w:rsidRPr="00596005">
        <w:rPr>
          <w:lang w:val="en-GB"/>
        </w:rPr>
        <w:t xml:space="preserve"> admissible</w:t>
      </w:r>
      <w:r w:rsidR="004865D9" w:rsidRPr="00596005">
        <w:t>.</w:t>
      </w:r>
    </w:p>
    <w:p w:rsidR="00DC1ED1" w:rsidRPr="00596005" w:rsidRDefault="00DC1ED1" w:rsidP="00DC1ED1">
      <w:pPr>
        <w:pStyle w:val="ListParagraph"/>
        <w:rPr>
          <w:lang w:val="en-GB"/>
        </w:rPr>
      </w:pPr>
    </w:p>
    <w:p w:rsidR="00DC1ED1" w:rsidRPr="00596005" w:rsidRDefault="00F855B3" w:rsidP="00DC1ED1">
      <w:pPr>
        <w:numPr>
          <w:ilvl w:val="0"/>
          <w:numId w:val="12"/>
        </w:numPr>
        <w:autoSpaceDE w:val="0"/>
        <w:autoSpaceDN w:val="0"/>
        <w:adjustRightInd w:val="0"/>
        <w:jc w:val="both"/>
        <w:rPr>
          <w:color w:val="000000"/>
          <w:lang w:val="en-GB" w:eastAsia="nl-NL"/>
        </w:rPr>
      </w:pPr>
      <w:r w:rsidRPr="00596005">
        <w:rPr>
          <w:lang w:val="en-GB"/>
        </w:rPr>
        <w:t xml:space="preserve">On </w:t>
      </w:r>
      <w:r w:rsidR="00A6045A">
        <w:rPr>
          <w:lang w:val="en-GB"/>
        </w:rPr>
        <w:t>19 December 2011</w:t>
      </w:r>
      <w:r w:rsidR="00E327E1" w:rsidRPr="00596005">
        <w:rPr>
          <w:lang w:val="en-GB"/>
        </w:rPr>
        <w:t xml:space="preserve">, </w:t>
      </w:r>
      <w:r w:rsidRPr="00596005">
        <w:rPr>
          <w:lang w:val="en-GB"/>
        </w:rPr>
        <w:t>the Panel forwarded its decision to the SRSG requesting UNMIK’s comments on the merits of the complaint</w:t>
      </w:r>
      <w:r w:rsidR="00672847" w:rsidRPr="00596005">
        <w:rPr>
          <w:lang w:val="en-GB"/>
        </w:rPr>
        <w:t>, as well as copies of the investigative files relevant to the case.</w:t>
      </w:r>
    </w:p>
    <w:p w:rsidR="00DC1ED1" w:rsidRPr="00596005" w:rsidRDefault="00DC1ED1" w:rsidP="00DC1ED1">
      <w:pPr>
        <w:pStyle w:val="ListParagraph"/>
        <w:rPr>
          <w:lang w:val="en-GB"/>
        </w:rPr>
      </w:pPr>
    </w:p>
    <w:p w:rsidR="00DC1ED1" w:rsidRPr="00596005" w:rsidRDefault="00CC6B19" w:rsidP="00DC1ED1">
      <w:pPr>
        <w:numPr>
          <w:ilvl w:val="0"/>
          <w:numId w:val="12"/>
        </w:numPr>
        <w:autoSpaceDE w:val="0"/>
        <w:autoSpaceDN w:val="0"/>
        <w:adjustRightInd w:val="0"/>
        <w:jc w:val="both"/>
        <w:rPr>
          <w:color w:val="000000"/>
          <w:lang w:val="en-GB" w:eastAsia="nl-NL"/>
        </w:rPr>
      </w:pPr>
      <w:r w:rsidRPr="00596005">
        <w:rPr>
          <w:lang w:val="en-GB"/>
        </w:rPr>
        <w:t xml:space="preserve">On </w:t>
      </w:r>
      <w:r w:rsidR="00A6045A">
        <w:rPr>
          <w:lang w:val="en-GB"/>
        </w:rPr>
        <w:t>2 March 2012</w:t>
      </w:r>
      <w:r w:rsidR="007F758E" w:rsidRPr="00596005">
        <w:rPr>
          <w:lang w:val="en-GB"/>
        </w:rPr>
        <w:t>,</w:t>
      </w:r>
      <w:r w:rsidRPr="00596005">
        <w:rPr>
          <w:lang w:val="en-GB"/>
        </w:rPr>
        <w:t xml:space="preserve"> the SRSG provided UNMIK’s comments</w:t>
      </w:r>
      <w:r w:rsidR="009F6CF5" w:rsidRPr="00596005">
        <w:rPr>
          <w:lang w:val="en-GB"/>
        </w:rPr>
        <w:t xml:space="preserve"> on the merits of the </w:t>
      </w:r>
      <w:r w:rsidR="00672847" w:rsidRPr="00596005">
        <w:rPr>
          <w:lang w:val="en-GB"/>
        </w:rPr>
        <w:t xml:space="preserve">complaint, </w:t>
      </w:r>
      <w:r w:rsidR="0098749A" w:rsidRPr="00596005">
        <w:rPr>
          <w:lang w:val="en-GB"/>
        </w:rPr>
        <w:t>together with the relevant documentation</w:t>
      </w:r>
      <w:r w:rsidRPr="00596005">
        <w:rPr>
          <w:lang w:val="en-GB"/>
        </w:rPr>
        <w:t>.</w:t>
      </w:r>
      <w:bookmarkStart w:id="1" w:name="_Ref373944367"/>
    </w:p>
    <w:p w:rsidR="00DC1ED1" w:rsidRPr="00596005" w:rsidRDefault="00DC1ED1" w:rsidP="00DC1ED1">
      <w:pPr>
        <w:pStyle w:val="ListParagraph"/>
        <w:rPr>
          <w:lang w:val="en-GB"/>
        </w:rPr>
      </w:pPr>
    </w:p>
    <w:p w:rsidR="00DC1ED1" w:rsidRPr="00596005" w:rsidRDefault="00647FB1" w:rsidP="00DC1ED1">
      <w:pPr>
        <w:numPr>
          <w:ilvl w:val="0"/>
          <w:numId w:val="12"/>
        </w:numPr>
        <w:autoSpaceDE w:val="0"/>
        <w:autoSpaceDN w:val="0"/>
        <w:adjustRightInd w:val="0"/>
        <w:jc w:val="both"/>
        <w:rPr>
          <w:color w:val="000000"/>
          <w:lang w:val="en-GB" w:eastAsia="nl-NL"/>
        </w:rPr>
      </w:pPr>
      <w:r w:rsidRPr="00596005">
        <w:rPr>
          <w:lang w:val="en-GB"/>
        </w:rPr>
        <w:t xml:space="preserve">On </w:t>
      </w:r>
      <w:r w:rsidR="00A6045A">
        <w:rPr>
          <w:lang w:val="en-GB"/>
        </w:rPr>
        <w:t>29 September 2014</w:t>
      </w:r>
      <w:r w:rsidR="00CE1F33" w:rsidRPr="00596005">
        <w:rPr>
          <w:lang w:val="en-GB"/>
        </w:rPr>
        <w:t>, the Pa</w:t>
      </w:r>
      <w:r w:rsidR="00764FB4" w:rsidRPr="00596005">
        <w:rPr>
          <w:lang w:val="en-GB"/>
        </w:rPr>
        <w:t>nel requested UNMIK to confirm i</w:t>
      </w:r>
      <w:r w:rsidR="00CE1F33" w:rsidRPr="00596005">
        <w:rPr>
          <w:lang w:val="en-GB"/>
        </w:rPr>
        <w:t xml:space="preserve">f the disclosure of files concerning the case could </w:t>
      </w:r>
      <w:r w:rsidR="00CE1F33" w:rsidRPr="00883E76">
        <w:rPr>
          <w:lang w:val="en-GB"/>
        </w:rPr>
        <w:t>be considered final.</w:t>
      </w:r>
      <w:r w:rsidR="00121E9E" w:rsidRPr="00883E76">
        <w:rPr>
          <w:lang w:val="en-GB"/>
        </w:rPr>
        <w:t xml:space="preserve"> </w:t>
      </w:r>
      <w:bookmarkStart w:id="2" w:name="_Ref368060542"/>
      <w:r w:rsidR="00CE1F33" w:rsidRPr="00883E76">
        <w:rPr>
          <w:lang w:val="en-GB"/>
        </w:rPr>
        <w:t>On</w:t>
      </w:r>
      <w:r w:rsidR="008C0366" w:rsidRPr="00883E76">
        <w:rPr>
          <w:lang w:val="en-GB"/>
        </w:rPr>
        <w:t xml:space="preserve"> </w:t>
      </w:r>
      <w:r w:rsidR="00883E76" w:rsidRPr="00883E76">
        <w:rPr>
          <w:lang w:val="en-GB"/>
        </w:rPr>
        <w:t>6</w:t>
      </w:r>
      <w:r w:rsidR="00A6045A" w:rsidRPr="00883E76">
        <w:rPr>
          <w:lang w:val="en-GB"/>
        </w:rPr>
        <w:t xml:space="preserve"> October 2014</w:t>
      </w:r>
      <w:r w:rsidR="008346E5" w:rsidRPr="00883E76">
        <w:rPr>
          <w:lang w:val="en-GB"/>
        </w:rPr>
        <w:t>,</w:t>
      </w:r>
      <w:r w:rsidR="008346E5" w:rsidRPr="00596005">
        <w:rPr>
          <w:lang w:val="en-GB"/>
        </w:rPr>
        <w:t xml:space="preserve"> </w:t>
      </w:r>
      <w:r w:rsidR="00CE1F33" w:rsidRPr="00596005">
        <w:rPr>
          <w:lang w:val="en-GB"/>
        </w:rPr>
        <w:t>UNMIK provided its response.</w:t>
      </w:r>
      <w:bookmarkEnd w:id="1"/>
      <w:bookmarkEnd w:id="2"/>
    </w:p>
    <w:p w:rsidR="00DC1ED1" w:rsidRDefault="00DC1ED1" w:rsidP="00DC1ED1">
      <w:pPr>
        <w:pStyle w:val="ListParagraph"/>
        <w:rPr>
          <w:color w:val="000000"/>
          <w:highlight w:val="yellow"/>
          <w:lang w:val="en-GB" w:eastAsia="nl-NL"/>
        </w:rPr>
      </w:pPr>
    </w:p>
    <w:p w:rsidR="00DC1ED1" w:rsidRPr="00DC1ED1" w:rsidRDefault="00DC1ED1" w:rsidP="00DC1ED1">
      <w:pPr>
        <w:autoSpaceDE w:val="0"/>
        <w:autoSpaceDN w:val="0"/>
        <w:adjustRightInd w:val="0"/>
        <w:jc w:val="both"/>
        <w:rPr>
          <w:color w:val="000000"/>
          <w:lang w:val="en-GB" w:eastAsia="nl-NL"/>
        </w:rPr>
      </w:pPr>
    </w:p>
    <w:p w:rsidR="00DC1ED1" w:rsidRPr="00B202AE" w:rsidRDefault="00DC1ED1" w:rsidP="00B202AE">
      <w:pPr>
        <w:numPr>
          <w:ilvl w:val="0"/>
          <w:numId w:val="1"/>
        </w:numPr>
        <w:suppressAutoHyphens/>
        <w:autoSpaceDE w:val="0"/>
        <w:ind w:left="360" w:hanging="360"/>
        <w:jc w:val="both"/>
        <w:rPr>
          <w:b/>
          <w:bCs/>
          <w:lang w:val="en-GB"/>
        </w:rPr>
      </w:pPr>
      <w:r w:rsidRPr="00B202AE">
        <w:rPr>
          <w:b/>
          <w:bCs/>
          <w:lang w:val="en-GB"/>
        </w:rPr>
        <w:t>THE FACTS</w:t>
      </w:r>
    </w:p>
    <w:p w:rsidR="00DC1ED1" w:rsidRPr="00DC1ED1" w:rsidRDefault="00DC1ED1" w:rsidP="00DC1ED1">
      <w:pPr>
        <w:autoSpaceDE w:val="0"/>
        <w:autoSpaceDN w:val="0"/>
        <w:adjustRightInd w:val="0"/>
        <w:jc w:val="both"/>
        <w:rPr>
          <w:b/>
          <w:color w:val="000000"/>
          <w:lang w:val="en-GB" w:eastAsia="nl-NL"/>
        </w:rPr>
      </w:pPr>
    </w:p>
    <w:p w:rsidR="00DC1ED1" w:rsidRPr="00B202AE" w:rsidRDefault="00DC1ED1" w:rsidP="00B202AE">
      <w:pPr>
        <w:pStyle w:val="ListParagraph"/>
        <w:numPr>
          <w:ilvl w:val="0"/>
          <w:numId w:val="18"/>
        </w:numPr>
        <w:autoSpaceDE w:val="0"/>
        <w:jc w:val="both"/>
        <w:rPr>
          <w:b/>
          <w:color w:val="000000"/>
          <w:lang w:val="en-GB" w:eastAsia="nl-NL"/>
        </w:rPr>
      </w:pPr>
      <w:r w:rsidRPr="00B202AE">
        <w:rPr>
          <w:b/>
          <w:bCs/>
          <w:lang w:val="en-GB"/>
        </w:rPr>
        <w:t xml:space="preserve">General background </w:t>
      </w:r>
      <w:r w:rsidR="003A521C" w:rsidRPr="00424947">
        <w:rPr>
          <w:rStyle w:val="FootnoteReference"/>
          <w:b/>
          <w:lang w:val="en-GB"/>
        </w:rPr>
        <w:footnoteReference w:id="2"/>
      </w:r>
      <w:r w:rsidRPr="00B202AE">
        <w:rPr>
          <w:b/>
          <w:bCs/>
          <w:lang w:val="en-GB"/>
        </w:rPr>
        <w:t xml:space="preserve"> </w:t>
      </w:r>
    </w:p>
    <w:p w:rsidR="00DC1ED1" w:rsidRDefault="00DC1ED1" w:rsidP="00DC1ED1">
      <w:pPr>
        <w:pStyle w:val="ListParagraph"/>
        <w:rPr>
          <w:lang w:val="en-GB"/>
        </w:rPr>
      </w:pPr>
    </w:p>
    <w:p w:rsidR="00606B4D" w:rsidRPr="00606B4D" w:rsidRDefault="00574094" w:rsidP="00606B4D">
      <w:pPr>
        <w:numPr>
          <w:ilvl w:val="0"/>
          <w:numId w:val="12"/>
        </w:numPr>
        <w:autoSpaceDE w:val="0"/>
        <w:autoSpaceDN w:val="0"/>
        <w:adjustRightInd w:val="0"/>
        <w:jc w:val="both"/>
        <w:rPr>
          <w:color w:val="000000"/>
          <w:lang w:val="en-GB" w:eastAsia="nl-NL"/>
        </w:rPr>
      </w:pPr>
      <w:r w:rsidRPr="00606B4D">
        <w:rPr>
          <w:lang w:val="en-GB"/>
        </w:rPr>
        <w:t>The events at issue took place in the territory of Kosovo</w:t>
      </w:r>
      <w:r w:rsidR="001F3C32" w:rsidRPr="00606B4D">
        <w:rPr>
          <w:lang w:val="en-GB"/>
        </w:rPr>
        <w:t xml:space="preserve"> shortly</w:t>
      </w:r>
      <w:r w:rsidRPr="00606B4D">
        <w:rPr>
          <w:lang w:val="en-GB"/>
        </w:rPr>
        <w:t xml:space="preserve"> after the establishment in June 1999 of the United Nations Interim Administration Mission in Kosovo (UNMIK).</w:t>
      </w:r>
    </w:p>
    <w:p w:rsidR="00606B4D" w:rsidRDefault="00606B4D" w:rsidP="00606B4D">
      <w:pPr>
        <w:autoSpaceDE w:val="0"/>
        <w:autoSpaceDN w:val="0"/>
        <w:adjustRightInd w:val="0"/>
        <w:ind w:left="360"/>
        <w:jc w:val="both"/>
        <w:rPr>
          <w:color w:val="000000"/>
          <w:lang w:val="en-GB" w:eastAsia="nl-NL"/>
        </w:rPr>
      </w:pPr>
    </w:p>
    <w:p w:rsidR="00606B4D" w:rsidRDefault="00C75A82" w:rsidP="00606B4D">
      <w:pPr>
        <w:numPr>
          <w:ilvl w:val="0"/>
          <w:numId w:val="12"/>
        </w:numPr>
        <w:autoSpaceDE w:val="0"/>
        <w:autoSpaceDN w:val="0"/>
        <w:adjustRightInd w:val="0"/>
        <w:jc w:val="both"/>
        <w:rPr>
          <w:color w:val="000000"/>
          <w:lang w:val="en-GB" w:eastAsia="nl-NL"/>
        </w:rPr>
      </w:pPr>
      <w:r w:rsidRPr="00606B4D">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w:t>
      </w:r>
      <w:r w:rsidRPr="00606B4D">
        <w:rPr>
          <w:lang w:val="en-GB"/>
        </w:rPr>
        <w:lastRenderedPageBreak/>
        <w:t>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bookmarkStart w:id="3" w:name="_Ref373941473"/>
    </w:p>
    <w:p w:rsidR="00606B4D" w:rsidRDefault="00606B4D" w:rsidP="00606B4D">
      <w:pPr>
        <w:pStyle w:val="ListParagraph"/>
        <w:rPr>
          <w:lang w:val="en-GB"/>
        </w:rPr>
      </w:pPr>
    </w:p>
    <w:p w:rsidR="00606B4D" w:rsidRPr="00606B4D" w:rsidRDefault="00FE0FB0" w:rsidP="00606B4D">
      <w:pPr>
        <w:numPr>
          <w:ilvl w:val="0"/>
          <w:numId w:val="12"/>
        </w:numPr>
        <w:autoSpaceDE w:val="0"/>
        <w:autoSpaceDN w:val="0"/>
        <w:adjustRightInd w:val="0"/>
        <w:jc w:val="both"/>
        <w:rPr>
          <w:color w:val="000000"/>
          <w:lang w:val="en-GB" w:eastAsia="nl-NL"/>
        </w:rPr>
      </w:pPr>
      <w:r w:rsidRPr="00606B4D">
        <w:rPr>
          <w:lang w:val="en-GB"/>
        </w:rPr>
        <w:t>O</w:t>
      </w:r>
      <w:r w:rsidR="00C75A82" w:rsidRPr="00606B4D">
        <w:rPr>
          <w:lang w:val="en-GB"/>
        </w:rPr>
        <w:t xml:space="preserve">n 10 June 1999, the UN Security Council adopted Resolution 1244 (1999). Acting under Chapter VII of the UN Charter, the UN Security Council decided upon the deployment of international security and civil presences - KFOR and UNMIK respectively - in the territory </w:t>
      </w:r>
      <w:r w:rsidR="00100111" w:rsidRPr="00606B4D">
        <w:rPr>
          <w:lang w:val="en-GB"/>
        </w:rPr>
        <w:t xml:space="preserve">of Kosovo. </w:t>
      </w:r>
      <w:r w:rsidR="00C75A82" w:rsidRPr="00606B4D">
        <w:rPr>
          <w:lang w:val="en-GB"/>
        </w:rPr>
        <w:t>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606B4D" w:rsidRDefault="00606B4D" w:rsidP="00606B4D">
      <w:pPr>
        <w:autoSpaceDE w:val="0"/>
        <w:autoSpaceDN w:val="0"/>
        <w:adjustRightInd w:val="0"/>
        <w:ind w:left="360"/>
        <w:jc w:val="both"/>
        <w:rPr>
          <w:color w:val="000000"/>
          <w:lang w:val="en-GB" w:eastAsia="nl-NL"/>
        </w:rPr>
      </w:pPr>
    </w:p>
    <w:p w:rsidR="00606B4D" w:rsidRDefault="00C75A82" w:rsidP="00606B4D">
      <w:pPr>
        <w:numPr>
          <w:ilvl w:val="0"/>
          <w:numId w:val="12"/>
        </w:numPr>
        <w:autoSpaceDE w:val="0"/>
        <w:autoSpaceDN w:val="0"/>
        <w:adjustRightInd w:val="0"/>
        <w:jc w:val="both"/>
        <w:rPr>
          <w:color w:val="000000"/>
          <w:lang w:val="en-GB" w:eastAsia="nl-NL"/>
        </w:rPr>
      </w:pPr>
      <w:r w:rsidRPr="00606B4D">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606B4D" w:rsidRDefault="00606B4D" w:rsidP="00606B4D">
      <w:pPr>
        <w:pStyle w:val="ListParagraph"/>
        <w:rPr>
          <w:lang w:val="en-GB"/>
        </w:rPr>
      </w:pPr>
    </w:p>
    <w:p w:rsidR="00606B4D" w:rsidRDefault="00C75A82" w:rsidP="00606B4D">
      <w:pPr>
        <w:numPr>
          <w:ilvl w:val="0"/>
          <w:numId w:val="12"/>
        </w:numPr>
        <w:autoSpaceDE w:val="0"/>
        <w:autoSpaceDN w:val="0"/>
        <w:adjustRightInd w:val="0"/>
        <w:jc w:val="both"/>
        <w:rPr>
          <w:color w:val="000000"/>
          <w:lang w:val="en-GB" w:eastAsia="nl-NL"/>
        </w:rPr>
      </w:pPr>
      <w:r w:rsidRPr="00606B4D">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606B4D" w:rsidRDefault="00606B4D" w:rsidP="00606B4D">
      <w:pPr>
        <w:pStyle w:val="ListParagraph"/>
        <w:rPr>
          <w:lang w:val="en-GB"/>
        </w:rPr>
      </w:pPr>
    </w:p>
    <w:p w:rsidR="00606B4D" w:rsidRDefault="00C75A82" w:rsidP="00606B4D">
      <w:pPr>
        <w:numPr>
          <w:ilvl w:val="0"/>
          <w:numId w:val="12"/>
        </w:numPr>
        <w:autoSpaceDE w:val="0"/>
        <w:autoSpaceDN w:val="0"/>
        <w:adjustRightInd w:val="0"/>
        <w:jc w:val="both"/>
        <w:rPr>
          <w:color w:val="000000"/>
          <w:lang w:val="en-GB" w:eastAsia="nl-NL"/>
        </w:rPr>
      </w:pPr>
      <w:r w:rsidRPr="00606B4D">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606B4D" w:rsidRDefault="00606B4D" w:rsidP="00606B4D">
      <w:pPr>
        <w:pStyle w:val="ListParagraph"/>
        <w:rPr>
          <w:lang w:val="en-GB"/>
        </w:rPr>
      </w:pPr>
    </w:p>
    <w:p w:rsidR="00606B4D" w:rsidRDefault="00C75A82" w:rsidP="00606B4D">
      <w:pPr>
        <w:numPr>
          <w:ilvl w:val="0"/>
          <w:numId w:val="12"/>
        </w:numPr>
        <w:autoSpaceDE w:val="0"/>
        <w:autoSpaceDN w:val="0"/>
        <w:adjustRightInd w:val="0"/>
        <w:jc w:val="both"/>
        <w:rPr>
          <w:color w:val="000000"/>
          <w:lang w:val="en-GB" w:eastAsia="nl-NL"/>
        </w:rPr>
      </w:pPr>
      <w:r w:rsidRPr="00606B4D">
        <w:rPr>
          <w:lang w:val="en-GB"/>
        </w:rPr>
        <w:lastRenderedPageBreak/>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606B4D" w:rsidRDefault="00606B4D" w:rsidP="00606B4D">
      <w:pPr>
        <w:pStyle w:val="ListParagraph"/>
        <w:rPr>
          <w:lang w:val="en-GB"/>
        </w:rPr>
      </w:pPr>
    </w:p>
    <w:p w:rsidR="00606B4D" w:rsidRDefault="00C75A82" w:rsidP="00606B4D">
      <w:pPr>
        <w:numPr>
          <w:ilvl w:val="0"/>
          <w:numId w:val="12"/>
        </w:numPr>
        <w:autoSpaceDE w:val="0"/>
        <w:autoSpaceDN w:val="0"/>
        <w:adjustRightInd w:val="0"/>
        <w:jc w:val="both"/>
        <w:rPr>
          <w:color w:val="000000"/>
          <w:lang w:val="en-GB" w:eastAsia="nl-NL"/>
        </w:rPr>
      </w:pPr>
      <w:r w:rsidRPr="00606B4D">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606B4D">
        <w:rPr>
          <w:lang w:val="en-GB"/>
        </w:rPr>
        <w:t xml:space="preserve"> </w:t>
      </w:r>
      <w:bookmarkStart w:id="5" w:name="_Ref346123767"/>
    </w:p>
    <w:p w:rsidR="00606B4D" w:rsidRDefault="00606B4D" w:rsidP="00606B4D">
      <w:pPr>
        <w:pStyle w:val="ListParagraph"/>
        <w:rPr>
          <w:lang w:val="en-GB"/>
        </w:rPr>
      </w:pPr>
    </w:p>
    <w:p w:rsidR="00606B4D" w:rsidRDefault="00C75A82" w:rsidP="00606B4D">
      <w:pPr>
        <w:numPr>
          <w:ilvl w:val="0"/>
          <w:numId w:val="12"/>
        </w:numPr>
        <w:autoSpaceDE w:val="0"/>
        <w:autoSpaceDN w:val="0"/>
        <w:adjustRightInd w:val="0"/>
        <w:jc w:val="both"/>
        <w:rPr>
          <w:color w:val="000000"/>
          <w:lang w:val="en-GB" w:eastAsia="nl-NL"/>
        </w:rPr>
      </w:pPr>
      <w:r w:rsidRPr="00606B4D">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606B4D">
        <w:rPr>
          <w:lang w:val="en-GB"/>
        </w:rPr>
        <w:t xml:space="preserve"> </w:t>
      </w:r>
      <w:bookmarkStart w:id="6" w:name="_Ref346725040"/>
    </w:p>
    <w:p w:rsidR="00606B4D" w:rsidRDefault="00606B4D" w:rsidP="00606B4D">
      <w:pPr>
        <w:pStyle w:val="ListParagraph"/>
        <w:rPr>
          <w:lang w:val="en-GB"/>
        </w:rPr>
      </w:pPr>
    </w:p>
    <w:p w:rsidR="00606B4D" w:rsidRPr="00606B4D" w:rsidRDefault="00C75A82" w:rsidP="00606B4D">
      <w:pPr>
        <w:numPr>
          <w:ilvl w:val="0"/>
          <w:numId w:val="12"/>
        </w:numPr>
        <w:autoSpaceDE w:val="0"/>
        <w:autoSpaceDN w:val="0"/>
        <w:adjustRightInd w:val="0"/>
        <w:jc w:val="both"/>
        <w:rPr>
          <w:color w:val="000000"/>
          <w:lang w:val="en-GB" w:eastAsia="nl-NL"/>
        </w:rPr>
      </w:pPr>
      <w:r w:rsidRPr="00606B4D">
        <w:rPr>
          <w:lang w:val="en-GB"/>
        </w:rPr>
        <w:t xml:space="preserve">In July 1999, the UN Secretary-General reported to the Security Council that UNMIK already considered the issue of missing persons as a particularly acute human rights concern in Kosovo. In November 1999, a Missing </w:t>
      </w:r>
      <w:r w:rsidRPr="00F65614">
        <w:rPr>
          <w:lang w:val="en-GB"/>
        </w:rPr>
        <w:t xml:space="preserve">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(VRIC) chaired by UNMIK was created for the recovery, identification and disposition of mortal remains. </w:t>
      </w:r>
      <w:r w:rsidR="00E17FE1" w:rsidRPr="00F65614">
        <w:rPr>
          <w:lang w:val="en-GB"/>
        </w:rPr>
        <w:t xml:space="preserve">On 5 November 2001, UNMIK signed the UNMIK-FRY Common Document, which among other things reiterated the commitment of solving the fate of missing persons from all communities and recognised that the exhumation and identification programme is only part of the activities related to missing persons. </w:t>
      </w:r>
      <w:r w:rsidRPr="00F65614">
        <w:rPr>
          <w:lang w:val="en-GB"/>
        </w:rPr>
        <w:t>As of June 2002, the newly established Office on Missing Persons and Forensics (OMPF) in the UNMIK Department of Justice (DOJ) became the sole authority mandated to determine the whereabouts of missing persons</w:t>
      </w:r>
      <w:r w:rsidRPr="00606B4D">
        <w:rPr>
          <w:lang w:val="en-GB"/>
        </w:rPr>
        <w:t>, identify their mortal remains and return them to the family of the missing. Starting from 2001, based on a M</w:t>
      </w:r>
      <w:r w:rsidR="000F1240" w:rsidRPr="00606B4D">
        <w:rPr>
          <w:lang w:val="en-GB"/>
        </w:rPr>
        <w:t>emorandum of Understanding</w:t>
      </w:r>
      <w:r w:rsidRPr="00606B4D">
        <w:rPr>
          <w:lang w:val="en-GB"/>
        </w:rPr>
        <w:t xml:space="preserve"> between UNMIK and the Sarajevo-based International Commission of Missing Persons (ICMP), supplemented by a further agreement in 2003, the identification of mortal remains was carried out by the ICMP through DNA testing.</w:t>
      </w:r>
      <w:bookmarkEnd w:id="6"/>
      <w:r w:rsidRPr="00606B4D">
        <w:rPr>
          <w:lang w:val="en-GB"/>
        </w:rPr>
        <w:t xml:space="preserve"> </w:t>
      </w:r>
      <w:bookmarkStart w:id="7" w:name="_Ref346123927"/>
    </w:p>
    <w:p w:rsidR="00606B4D" w:rsidRDefault="00606B4D" w:rsidP="00606B4D">
      <w:pPr>
        <w:autoSpaceDE w:val="0"/>
        <w:autoSpaceDN w:val="0"/>
        <w:adjustRightInd w:val="0"/>
        <w:ind w:left="360"/>
        <w:jc w:val="both"/>
        <w:rPr>
          <w:color w:val="000000"/>
          <w:lang w:val="en-GB" w:eastAsia="nl-NL"/>
        </w:rPr>
      </w:pPr>
    </w:p>
    <w:p w:rsidR="00606B4D" w:rsidRDefault="00C75A82" w:rsidP="00606B4D">
      <w:pPr>
        <w:numPr>
          <w:ilvl w:val="0"/>
          <w:numId w:val="12"/>
        </w:numPr>
        <w:autoSpaceDE w:val="0"/>
        <w:autoSpaceDN w:val="0"/>
        <w:adjustRightInd w:val="0"/>
        <w:jc w:val="both"/>
        <w:rPr>
          <w:color w:val="000000"/>
          <w:lang w:val="en-GB" w:eastAsia="nl-NL"/>
        </w:rPr>
      </w:pPr>
      <w:r w:rsidRPr="00606B4D">
        <w:rPr>
          <w:lang w:val="en-GB"/>
        </w:rPr>
        <w:lastRenderedPageBreak/>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Start w:id="8" w:name="_Ref346123928"/>
      <w:bookmarkEnd w:id="7"/>
    </w:p>
    <w:p w:rsidR="00606B4D" w:rsidRDefault="00606B4D" w:rsidP="00606B4D">
      <w:pPr>
        <w:pStyle w:val="ListParagraph"/>
        <w:rPr>
          <w:lang w:val="en-GB"/>
        </w:rPr>
      </w:pPr>
    </w:p>
    <w:p w:rsidR="00606B4D" w:rsidRPr="00606B4D" w:rsidRDefault="00C75A82" w:rsidP="00606B4D">
      <w:pPr>
        <w:numPr>
          <w:ilvl w:val="0"/>
          <w:numId w:val="12"/>
        </w:numPr>
        <w:autoSpaceDE w:val="0"/>
        <w:autoSpaceDN w:val="0"/>
        <w:adjustRightInd w:val="0"/>
        <w:jc w:val="both"/>
        <w:rPr>
          <w:color w:val="000000"/>
          <w:lang w:val="en-GB" w:eastAsia="nl-NL"/>
        </w:rPr>
      </w:pPr>
      <w:r w:rsidRPr="00606B4D">
        <w:rPr>
          <w:lang w:val="en-GB"/>
        </w:rPr>
        <w:t>On the same da</w:t>
      </w:r>
      <w:r w:rsidR="000F1240" w:rsidRPr="00606B4D">
        <w:rPr>
          <w:lang w:val="en-GB"/>
        </w:rPr>
        <w:t>te, UNMIK and EULEX signed an agreement</w:t>
      </w:r>
      <w:r w:rsidRPr="00606B4D">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606B4D">
        <w:rPr>
          <w:lang w:val="en-GB"/>
        </w:rPr>
        <w:t xml:space="preserve">supposed to be </w:t>
      </w:r>
      <w:r w:rsidRPr="00606B4D">
        <w:rPr>
          <w:lang w:val="en-GB"/>
        </w:rPr>
        <w:t>handed over to EULEX.</w:t>
      </w:r>
      <w:bookmarkEnd w:id="8"/>
    </w:p>
    <w:p w:rsidR="00606B4D" w:rsidRPr="002D6356" w:rsidRDefault="00606B4D" w:rsidP="00606B4D">
      <w:pPr>
        <w:ind w:left="360"/>
        <w:jc w:val="both"/>
        <w:rPr>
          <w:b/>
          <w:lang w:val="en-GB"/>
        </w:rPr>
      </w:pPr>
    </w:p>
    <w:p w:rsidR="00606B4D" w:rsidRPr="00B82339" w:rsidRDefault="00606B4D" w:rsidP="00606B4D">
      <w:pPr>
        <w:autoSpaceDE w:val="0"/>
        <w:jc w:val="both"/>
        <w:rPr>
          <w:b/>
          <w:lang w:val="en-GB"/>
        </w:rPr>
      </w:pPr>
      <w:r w:rsidRPr="00B82339">
        <w:rPr>
          <w:b/>
          <w:bCs/>
          <w:lang w:val="en-GB"/>
        </w:rPr>
        <w:t xml:space="preserve">B. Circumstances surrounding the </w:t>
      </w:r>
      <w:r w:rsidR="00987E2A" w:rsidRPr="00B82339">
        <w:rPr>
          <w:b/>
          <w:bCs/>
          <w:lang w:val="en-GB"/>
        </w:rPr>
        <w:t xml:space="preserve">abduction and </w:t>
      </w:r>
      <w:r w:rsidRPr="00B82339">
        <w:rPr>
          <w:b/>
          <w:bCs/>
          <w:lang w:val="en-GB"/>
        </w:rPr>
        <w:t xml:space="preserve">killing of Mr </w:t>
      </w:r>
      <w:proofErr w:type="spellStart"/>
      <w:r w:rsidR="00556CA2" w:rsidRPr="00556CA2">
        <w:rPr>
          <w:b/>
          <w:lang w:val="en-GB"/>
        </w:rPr>
        <w:t>Mlađan</w:t>
      </w:r>
      <w:proofErr w:type="spellEnd"/>
      <w:r w:rsidR="00556CA2" w:rsidRPr="00556CA2">
        <w:rPr>
          <w:b/>
          <w:lang w:val="en-GB"/>
        </w:rPr>
        <w:t xml:space="preserve"> </w:t>
      </w:r>
      <w:proofErr w:type="spellStart"/>
      <w:r w:rsidR="00556CA2" w:rsidRPr="00556CA2">
        <w:rPr>
          <w:b/>
          <w:lang w:val="en-GB"/>
        </w:rPr>
        <w:t>Mavrić</w:t>
      </w:r>
      <w:proofErr w:type="spellEnd"/>
    </w:p>
    <w:p w:rsidR="00606B4D" w:rsidRPr="00B82339" w:rsidRDefault="00606B4D" w:rsidP="00606B4D">
      <w:pPr>
        <w:pStyle w:val="ListParagraph"/>
        <w:rPr>
          <w:lang w:val="en-GB"/>
        </w:rPr>
      </w:pPr>
    </w:p>
    <w:p w:rsidR="00527DDD" w:rsidRPr="00203B95" w:rsidRDefault="00A6045A" w:rsidP="00A6045A">
      <w:pPr>
        <w:numPr>
          <w:ilvl w:val="0"/>
          <w:numId w:val="12"/>
        </w:numPr>
        <w:autoSpaceDE w:val="0"/>
        <w:autoSpaceDN w:val="0"/>
        <w:adjustRightInd w:val="0"/>
        <w:jc w:val="both"/>
        <w:rPr>
          <w:color w:val="000000"/>
          <w:lang w:val="en-GB" w:eastAsia="nl-NL"/>
        </w:rPr>
      </w:pPr>
      <w:bookmarkStart w:id="9" w:name="_Ref384718992"/>
      <w:r w:rsidRPr="00203B95">
        <w:rPr>
          <w:color w:val="000000"/>
          <w:lang w:val="en-GB" w:eastAsia="nl-NL"/>
        </w:rPr>
        <w:t xml:space="preserve">The complainant is the wife of Mr </w:t>
      </w:r>
      <w:proofErr w:type="spellStart"/>
      <w:r w:rsidRPr="00203B95">
        <w:rPr>
          <w:color w:val="000000"/>
          <w:lang w:val="en-GB" w:eastAsia="nl-NL"/>
        </w:rPr>
        <w:t>Mlađan</w:t>
      </w:r>
      <w:proofErr w:type="spellEnd"/>
      <w:r w:rsidRPr="00203B95">
        <w:rPr>
          <w:color w:val="000000"/>
          <w:lang w:val="en-GB" w:eastAsia="nl-NL"/>
        </w:rPr>
        <w:t xml:space="preserve"> </w:t>
      </w:r>
      <w:proofErr w:type="spellStart"/>
      <w:r w:rsidRPr="00203B95">
        <w:rPr>
          <w:color w:val="000000"/>
          <w:lang w:val="en-GB" w:eastAsia="nl-NL"/>
        </w:rPr>
        <w:t>Mavrić</w:t>
      </w:r>
      <w:proofErr w:type="spellEnd"/>
      <w:r w:rsidRPr="00203B95">
        <w:rPr>
          <w:color w:val="000000"/>
          <w:lang w:val="en-GB" w:eastAsia="nl-NL"/>
        </w:rPr>
        <w:t xml:space="preserve">. </w:t>
      </w:r>
      <w:r w:rsidR="00527DDD" w:rsidRPr="00203B95">
        <w:rPr>
          <w:color w:val="000000"/>
          <w:lang w:val="en-GB" w:eastAsia="nl-NL"/>
        </w:rPr>
        <w:t>She</w:t>
      </w:r>
      <w:r w:rsidRPr="00203B95">
        <w:rPr>
          <w:color w:val="000000"/>
          <w:lang w:val="en-GB" w:eastAsia="nl-NL"/>
        </w:rPr>
        <w:t xml:space="preserve"> states that her husband was</w:t>
      </w:r>
      <w:r w:rsidR="00527DDD" w:rsidRPr="00203B95">
        <w:rPr>
          <w:color w:val="000000"/>
          <w:lang w:val="en-GB" w:eastAsia="nl-NL"/>
        </w:rPr>
        <w:t xml:space="preserve"> wounded during the NATO bombing</w:t>
      </w:r>
      <w:r w:rsidR="00883E76" w:rsidRPr="00203B95">
        <w:rPr>
          <w:color w:val="000000"/>
          <w:lang w:val="en-GB" w:eastAsia="nl-NL"/>
        </w:rPr>
        <w:t>. A</w:t>
      </w:r>
      <w:r w:rsidR="00527DDD" w:rsidRPr="00203B95">
        <w:rPr>
          <w:color w:val="000000"/>
          <w:lang w:val="en-GB" w:eastAsia="nl-NL"/>
        </w:rPr>
        <w:t xml:space="preserve">fter the arrival of KFOR in Kosovo they </w:t>
      </w:r>
      <w:r w:rsidR="00883E76" w:rsidRPr="00203B95">
        <w:rPr>
          <w:color w:val="000000"/>
          <w:lang w:val="en-GB" w:eastAsia="nl-NL"/>
        </w:rPr>
        <w:t>stayed</w:t>
      </w:r>
      <w:r w:rsidR="00203B95">
        <w:rPr>
          <w:color w:val="000000"/>
          <w:lang w:val="en-GB" w:eastAsia="nl-NL"/>
        </w:rPr>
        <w:t xml:space="preserve"> in the village of </w:t>
      </w:r>
      <w:proofErr w:type="spellStart"/>
      <w:r w:rsidR="00527DDD" w:rsidRPr="00203B95">
        <w:rPr>
          <w:color w:val="000000"/>
          <w:lang w:val="en-GB" w:eastAsia="nl-NL"/>
        </w:rPr>
        <w:t>Hoçë</w:t>
      </w:r>
      <w:proofErr w:type="spellEnd"/>
      <w:r w:rsidR="00527DDD" w:rsidRPr="00203B95">
        <w:rPr>
          <w:color w:val="000000"/>
          <w:lang w:val="en-GB" w:eastAsia="nl-NL"/>
        </w:rPr>
        <w:t xml:space="preserve"> e </w:t>
      </w:r>
      <w:proofErr w:type="spellStart"/>
      <w:r w:rsidR="00527DDD" w:rsidRPr="00203B95">
        <w:rPr>
          <w:color w:val="000000"/>
          <w:lang w:val="en-GB" w:eastAsia="nl-NL"/>
        </w:rPr>
        <w:t>Madhe</w:t>
      </w:r>
      <w:proofErr w:type="spellEnd"/>
      <w:r w:rsidR="00527DDD" w:rsidRPr="00203B95">
        <w:rPr>
          <w:color w:val="000000"/>
          <w:lang w:val="en-GB" w:eastAsia="nl-NL"/>
        </w:rPr>
        <w:t>/</w:t>
      </w:r>
      <w:proofErr w:type="spellStart"/>
      <w:r w:rsidR="00527DDD" w:rsidRPr="00203B95">
        <w:rPr>
          <w:color w:val="000000"/>
          <w:lang w:val="en-GB" w:eastAsia="nl-NL"/>
        </w:rPr>
        <w:t>Velika</w:t>
      </w:r>
      <w:proofErr w:type="spellEnd"/>
      <w:r w:rsidR="00527DDD" w:rsidRPr="00203B95">
        <w:rPr>
          <w:color w:val="000000"/>
          <w:lang w:val="en-GB" w:eastAsia="nl-NL"/>
        </w:rPr>
        <w:t xml:space="preserve"> </w:t>
      </w:r>
      <w:proofErr w:type="spellStart"/>
      <w:r w:rsidR="00527DDD" w:rsidRPr="00203B95">
        <w:rPr>
          <w:color w:val="000000"/>
          <w:lang w:val="en-GB" w:eastAsia="nl-NL"/>
        </w:rPr>
        <w:t>Hoča</w:t>
      </w:r>
      <w:proofErr w:type="spellEnd"/>
      <w:r w:rsidR="00282B40" w:rsidRPr="00203B95">
        <w:rPr>
          <w:color w:val="000000"/>
          <w:lang w:val="en-GB" w:eastAsia="nl-NL"/>
        </w:rPr>
        <w:t>, municipality of Rahovec/Orahovac</w:t>
      </w:r>
      <w:r w:rsidR="00883E76" w:rsidRPr="00203B95">
        <w:rPr>
          <w:color w:val="000000"/>
          <w:lang w:val="en-GB" w:eastAsia="nl-NL"/>
        </w:rPr>
        <w:t xml:space="preserve">, until 12 October 1999, when Mr </w:t>
      </w:r>
      <w:proofErr w:type="spellStart"/>
      <w:r w:rsidR="00883E76" w:rsidRPr="00203B95">
        <w:rPr>
          <w:color w:val="000000"/>
          <w:lang w:val="en-GB" w:eastAsia="nl-NL"/>
        </w:rPr>
        <w:t>Mlađan</w:t>
      </w:r>
      <w:proofErr w:type="spellEnd"/>
      <w:r w:rsidR="00883E76" w:rsidRPr="00203B95">
        <w:rPr>
          <w:color w:val="000000"/>
          <w:lang w:val="en-GB" w:eastAsia="nl-NL"/>
        </w:rPr>
        <w:t xml:space="preserve"> </w:t>
      </w:r>
      <w:proofErr w:type="spellStart"/>
      <w:r w:rsidR="00883E76" w:rsidRPr="00203B95">
        <w:rPr>
          <w:color w:val="000000"/>
          <w:lang w:val="en-GB" w:eastAsia="nl-NL"/>
        </w:rPr>
        <w:t>Mavrić</w:t>
      </w:r>
      <w:proofErr w:type="spellEnd"/>
      <w:r w:rsidR="00883E76" w:rsidRPr="00203B95">
        <w:rPr>
          <w:color w:val="000000"/>
          <w:lang w:val="en-GB" w:eastAsia="nl-NL"/>
        </w:rPr>
        <w:t xml:space="preserve"> was kidnapped by unknown persons. </w:t>
      </w:r>
    </w:p>
    <w:p w:rsidR="00527DDD" w:rsidRPr="00203B95" w:rsidRDefault="00527DDD" w:rsidP="00527DDD">
      <w:pPr>
        <w:autoSpaceDE w:val="0"/>
        <w:autoSpaceDN w:val="0"/>
        <w:adjustRightInd w:val="0"/>
        <w:ind w:left="360"/>
        <w:jc w:val="both"/>
        <w:rPr>
          <w:color w:val="000000"/>
          <w:lang w:val="en-GB" w:eastAsia="nl-NL"/>
        </w:rPr>
      </w:pPr>
    </w:p>
    <w:p w:rsidR="00A6045A" w:rsidRPr="00203B95" w:rsidRDefault="00527DDD" w:rsidP="00A6045A">
      <w:pPr>
        <w:numPr>
          <w:ilvl w:val="0"/>
          <w:numId w:val="12"/>
        </w:numPr>
        <w:autoSpaceDE w:val="0"/>
        <w:autoSpaceDN w:val="0"/>
        <w:adjustRightInd w:val="0"/>
        <w:jc w:val="both"/>
        <w:rPr>
          <w:color w:val="000000"/>
          <w:lang w:val="en-GB" w:eastAsia="nl-NL"/>
        </w:rPr>
      </w:pPr>
      <w:r w:rsidRPr="00203B95">
        <w:rPr>
          <w:color w:val="000000"/>
          <w:lang w:val="en-GB" w:eastAsia="nl-NL"/>
        </w:rPr>
        <w:t>The complainant states that</w:t>
      </w:r>
      <w:r w:rsidR="00883E76" w:rsidRPr="00203B95">
        <w:rPr>
          <w:color w:val="000000"/>
          <w:lang w:val="en-GB" w:eastAsia="nl-NL"/>
        </w:rPr>
        <w:t xml:space="preserve"> on the day of the abduction her husband </w:t>
      </w:r>
      <w:r w:rsidRPr="00203B95">
        <w:rPr>
          <w:color w:val="000000"/>
          <w:lang w:val="en-GB" w:eastAsia="nl-NL"/>
        </w:rPr>
        <w:t>was</w:t>
      </w:r>
      <w:r w:rsidR="00883E76" w:rsidRPr="00203B95">
        <w:rPr>
          <w:color w:val="000000"/>
          <w:lang w:val="en-GB" w:eastAsia="nl-NL"/>
        </w:rPr>
        <w:t xml:space="preserve"> </w:t>
      </w:r>
      <w:r w:rsidR="00A6045A" w:rsidRPr="00203B95">
        <w:rPr>
          <w:color w:val="000000"/>
          <w:lang w:val="en-GB" w:eastAsia="nl-NL"/>
        </w:rPr>
        <w:t xml:space="preserve">returning with his vehicle from the Serbian part of Rahovec/Orahovac town to the village of </w:t>
      </w:r>
      <w:proofErr w:type="spellStart"/>
      <w:r w:rsidR="00A6045A" w:rsidRPr="00203B95">
        <w:rPr>
          <w:color w:val="000000"/>
          <w:lang w:val="en-GB" w:eastAsia="nl-NL"/>
        </w:rPr>
        <w:t>Hoçë</w:t>
      </w:r>
      <w:proofErr w:type="spellEnd"/>
      <w:r w:rsidR="00A6045A" w:rsidRPr="00203B95">
        <w:rPr>
          <w:color w:val="000000"/>
          <w:lang w:val="en-GB" w:eastAsia="nl-NL"/>
        </w:rPr>
        <w:t xml:space="preserve"> e </w:t>
      </w:r>
      <w:proofErr w:type="spellStart"/>
      <w:r w:rsidR="00A6045A" w:rsidRPr="00203B95">
        <w:rPr>
          <w:color w:val="000000"/>
          <w:lang w:val="en-GB" w:eastAsia="nl-NL"/>
        </w:rPr>
        <w:t>Madhe</w:t>
      </w:r>
      <w:proofErr w:type="spellEnd"/>
      <w:r w:rsidR="00A6045A" w:rsidRPr="00203B95">
        <w:rPr>
          <w:color w:val="000000"/>
          <w:lang w:val="en-GB" w:eastAsia="nl-NL"/>
        </w:rPr>
        <w:t>/</w:t>
      </w:r>
      <w:proofErr w:type="spellStart"/>
      <w:r w:rsidR="00A6045A" w:rsidRPr="00203B95">
        <w:rPr>
          <w:color w:val="000000"/>
          <w:lang w:val="en-GB" w:eastAsia="nl-NL"/>
        </w:rPr>
        <w:t>Velika</w:t>
      </w:r>
      <w:proofErr w:type="spellEnd"/>
      <w:r w:rsidR="00A6045A" w:rsidRPr="00203B95">
        <w:rPr>
          <w:color w:val="000000"/>
          <w:lang w:val="en-GB" w:eastAsia="nl-NL"/>
        </w:rPr>
        <w:t xml:space="preserve"> </w:t>
      </w:r>
      <w:proofErr w:type="spellStart"/>
      <w:r w:rsidR="00A6045A" w:rsidRPr="00203B95">
        <w:rPr>
          <w:color w:val="000000"/>
          <w:lang w:val="en-GB" w:eastAsia="nl-NL"/>
        </w:rPr>
        <w:t>Hoča</w:t>
      </w:r>
      <w:proofErr w:type="spellEnd"/>
      <w:r w:rsidR="00A6045A" w:rsidRPr="00203B95">
        <w:rPr>
          <w:color w:val="000000"/>
          <w:lang w:val="en-GB" w:eastAsia="nl-NL"/>
        </w:rPr>
        <w:t xml:space="preserve">. </w:t>
      </w:r>
      <w:r w:rsidR="00883E76" w:rsidRPr="00203B95">
        <w:rPr>
          <w:color w:val="000000"/>
          <w:lang w:val="en-GB" w:eastAsia="nl-NL"/>
        </w:rPr>
        <w:t xml:space="preserve">She states that Mr </w:t>
      </w:r>
      <w:proofErr w:type="spellStart"/>
      <w:r w:rsidR="00883E76" w:rsidRPr="00203B95">
        <w:rPr>
          <w:color w:val="000000"/>
          <w:lang w:val="en-GB" w:eastAsia="nl-NL"/>
        </w:rPr>
        <w:t>Mlađan</w:t>
      </w:r>
      <w:proofErr w:type="spellEnd"/>
      <w:r w:rsidR="00883E76" w:rsidRPr="00203B95">
        <w:rPr>
          <w:color w:val="000000"/>
          <w:lang w:val="en-GB" w:eastAsia="nl-NL"/>
        </w:rPr>
        <w:t xml:space="preserve"> </w:t>
      </w:r>
      <w:proofErr w:type="spellStart"/>
      <w:r w:rsidR="00883E76" w:rsidRPr="00203B95">
        <w:rPr>
          <w:color w:val="000000"/>
          <w:lang w:val="en-GB" w:eastAsia="nl-NL"/>
        </w:rPr>
        <w:t>Mavrić</w:t>
      </w:r>
      <w:proofErr w:type="spellEnd"/>
      <w:r w:rsidR="00A6045A" w:rsidRPr="00203B95">
        <w:rPr>
          <w:color w:val="000000"/>
          <w:lang w:val="en-GB" w:eastAsia="nl-NL"/>
        </w:rPr>
        <w:t xml:space="preserve"> had left in the morning to buy food supplies in Rahovec/Orahovac, where he was last seen at about 11</w:t>
      </w:r>
      <w:r w:rsidR="004D1A75">
        <w:rPr>
          <w:color w:val="000000"/>
          <w:lang w:val="en-GB" w:eastAsia="nl-NL"/>
        </w:rPr>
        <w:t>:</w:t>
      </w:r>
      <w:r w:rsidR="00A6045A" w:rsidRPr="00203B95">
        <w:rPr>
          <w:color w:val="000000"/>
          <w:lang w:val="en-GB" w:eastAsia="nl-NL"/>
        </w:rPr>
        <w:t xml:space="preserve">00. </w:t>
      </w:r>
      <w:r w:rsidRPr="00203B95">
        <w:rPr>
          <w:color w:val="000000"/>
          <w:lang w:val="en-GB" w:eastAsia="nl-NL"/>
        </w:rPr>
        <w:t xml:space="preserve">He went missing with his car. </w:t>
      </w:r>
    </w:p>
    <w:p w:rsidR="00556CA2" w:rsidRPr="00203B95" w:rsidRDefault="00556CA2" w:rsidP="00556CA2">
      <w:pPr>
        <w:autoSpaceDE w:val="0"/>
        <w:autoSpaceDN w:val="0"/>
        <w:adjustRightInd w:val="0"/>
        <w:ind w:left="360"/>
        <w:jc w:val="both"/>
        <w:rPr>
          <w:color w:val="000000"/>
          <w:lang w:val="en-GB" w:eastAsia="nl-NL"/>
        </w:rPr>
      </w:pPr>
    </w:p>
    <w:p w:rsidR="00F8224C" w:rsidRPr="00203B95" w:rsidRDefault="00A6045A" w:rsidP="00556CA2">
      <w:pPr>
        <w:numPr>
          <w:ilvl w:val="0"/>
          <w:numId w:val="12"/>
        </w:numPr>
        <w:autoSpaceDE w:val="0"/>
        <w:autoSpaceDN w:val="0"/>
        <w:adjustRightInd w:val="0"/>
        <w:jc w:val="both"/>
        <w:rPr>
          <w:color w:val="000000"/>
          <w:lang w:val="en-GB" w:eastAsia="nl-NL"/>
        </w:rPr>
      </w:pPr>
      <w:r w:rsidRPr="00203B95">
        <w:rPr>
          <w:color w:val="000000"/>
          <w:lang w:val="en-GB" w:eastAsia="nl-NL"/>
        </w:rPr>
        <w:t>The complainant states that</w:t>
      </w:r>
      <w:r w:rsidR="00927FFE" w:rsidRPr="00203B95">
        <w:rPr>
          <w:color w:val="000000"/>
          <w:lang w:val="en-GB" w:eastAsia="nl-NL"/>
        </w:rPr>
        <w:t>, on the</w:t>
      </w:r>
      <w:r w:rsidR="00527DDD" w:rsidRPr="00203B95">
        <w:rPr>
          <w:color w:val="000000"/>
          <w:lang w:val="en-GB" w:eastAsia="nl-NL"/>
        </w:rPr>
        <w:t xml:space="preserve"> day of the disappearance, she reported the kidnapping of her husband </w:t>
      </w:r>
      <w:r w:rsidRPr="00203B95">
        <w:rPr>
          <w:color w:val="000000"/>
          <w:lang w:val="en-GB" w:eastAsia="nl-NL"/>
        </w:rPr>
        <w:t xml:space="preserve">to the German KFOR and to the UNMIK Police. </w:t>
      </w:r>
      <w:r w:rsidR="00F8224C" w:rsidRPr="00203B95">
        <w:rPr>
          <w:color w:val="000000"/>
          <w:lang w:val="en-GB" w:eastAsia="nl-NL"/>
        </w:rPr>
        <w:t xml:space="preserve"> She provided them with the information she had at that moment and also with a picture of her husband. She was not given any document to prove that she had reported the matter. </w:t>
      </w:r>
    </w:p>
    <w:p w:rsidR="00F8224C" w:rsidRPr="00203B95" w:rsidRDefault="00F8224C" w:rsidP="00F8224C">
      <w:pPr>
        <w:pStyle w:val="ListParagraph"/>
        <w:rPr>
          <w:color w:val="000000"/>
          <w:lang w:val="en-GB" w:eastAsia="nl-NL"/>
        </w:rPr>
      </w:pPr>
    </w:p>
    <w:p w:rsidR="00556CA2" w:rsidRPr="00203B95" w:rsidRDefault="00F8224C" w:rsidP="00F8224C">
      <w:pPr>
        <w:numPr>
          <w:ilvl w:val="0"/>
          <w:numId w:val="12"/>
        </w:numPr>
        <w:autoSpaceDE w:val="0"/>
        <w:autoSpaceDN w:val="0"/>
        <w:adjustRightInd w:val="0"/>
        <w:jc w:val="both"/>
        <w:rPr>
          <w:color w:val="000000"/>
          <w:lang w:val="en-GB" w:eastAsia="nl-NL"/>
        </w:rPr>
      </w:pPr>
      <w:r w:rsidRPr="00203B95">
        <w:rPr>
          <w:color w:val="000000"/>
          <w:lang w:val="en-GB" w:eastAsia="nl-NL"/>
        </w:rPr>
        <w:t>The complainant states that</w:t>
      </w:r>
      <w:r w:rsidR="00A6045A" w:rsidRPr="00203B95">
        <w:rPr>
          <w:color w:val="000000"/>
          <w:lang w:val="en-GB" w:eastAsia="nl-NL"/>
        </w:rPr>
        <w:t xml:space="preserve"> she did not receive any information on he</w:t>
      </w:r>
      <w:r w:rsidR="00556CA2" w:rsidRPr="00203B95">
        <w:rPr>
          <w:color w:val="000000"/>
          <w:lang w:val="en-GB" w:eastAsia="nl-NL"/>
        </w:rPr>
        <w:t xml:space="preserve">r husband’s fate for four years </w:t>
      </w:r>
      <w:r w:rsidR="00A6045A" w:rsidRPr="00203B95">
        <w:rPr>
          <w:color w:val="000000"/>
          <w:lang w:val="en-GB" w:eastAsia="nl-NL"/>
        </w:rPr>
        <w:t xml:space="preserve">following his disappearance. </w:t>
      </w:r>
      <w:r w:rsidRPr="00203B95">
        <w:rPr>
          <w:color w:val="000000"/>
          <w:lang w:val="en-GB" w:eastAsia="nl-NL"/>
        </w:rPr>
        <w:t xml:space="preserve">In November 2003, she was informed that the mortal remains of her husband had been located on 22 November </w:t>
      </w:r>
      <w:smartTag w:uri="urn:schemas-microsoft-com:office:smarttags" w:element="metricconverter">
        <w:smartTagPr>
          <w:attr w:name="ProductID" w:val="2002 in"/>
        </w:smartTagPr>
        <w:r w:rsidRPr="00203B95">
          <w:rPr>
            <w:color w:val="000000"/>
            <w:lang w:val="en-GB" w:eastAsia="nl-NL"/>
          </w:rPr>
          <w:t>2002 in</w:t>
        </w:r>
      </w:smartTag>
      <w:r w:rsidRPr="00203B95">
        <w:rPr>
          <w:color w:val="000000"/>
          <w:lang w:val="en-GB" w:eastAsia="nl-NL"/>
        </w:rPr>
        <w:t xml:space="preserve"> the village of </w:t>
      </w:r>
      <w:proofErr w:type="spellStart"/>
      <w:r w:rsidRPr="00203B95">
        <w:rPr>
          <w:color w:val="000000"/>
          <w:lang w:val="en-GB" w:eastAsia="nl-NL"/>
        </w:rPr>
        <w:t>Brestovc</w:t>
      </w:r>
      <w:proofErr w:type="spellEnd"/>
      <w:r w:rsidRPr="00203B95">
        <w:rPr>
          <w:color w:val="000000"/>
          <w:lang w:val="en-GB" w:eastAsia="nl-NL"/>
        </w:rPr>
        <w:t>/</w:t>
      </w:r>
      <w:proofErr w:type="spellStart"/>
      <w:r w:rsidRPr="00203B95">
        <w:rPr>
          <w:color w:val="000000"/>
          <w:lang w:val="en-GB" w:eastAsia="nl-NL"/>
        </w:rPr>
        <w:t>Brestovac</w:t>
      </w:r>
      <w:proofErr w:type="spellEnd"/>
      <w:r w:rsidRPr="00203B95">
        <w:rPr>
          <w:color w:val="000000"/>
          <w:lang w:val="en-GB" w:eastAsia="nl-NL"/>
        </w:rPr>
        <w:t xml:space="preserve"> and that the process of his identification had lasted for one year. Mr </w:t>
      </w:r>
      <w:proofErr w:type="spellStart"/>
      <w:r w:rsidRPr="00203B95">
        <w:rPr>
          <w:color w:val="000000"/>
          <w:lang w:val="en-GB" w:eastAsia="nl-NL"/>
        </w:rPr>
        <w:t>Mlađan</w:t>
      </w:r>
      <w:proofErr w:type="spellEnd"/>
      <w:r w:rsidRPr="00203B95">
        <w:rPr>
          <w:color w:val="000000"/>
          <w:lang w:val="en-GB" w:eastAsia="nl-NL"/>
        </w:rPr>
        <w:t xml:space="preserve"> </w:t>
      </w:r>
      <w:proofErr w:type="spellStart"/>
      <w:r w:rsidRPr="00203B95">
        <w:rPr>
          <w:color w:val="000000"/>
          <w:lang w:val="en-GB" w:eastAsia="nl-NL"/>
        </w:rPr>
        <w:t>Mavrić</w:t>
      </w:r>
      <w:proofErr w:type="spellEnd"/>
      <w:r w:rsidRPr="00203B95">
        <w:rPr>
          <w:color w:val="000000"/>
          <w:lang w:val="en-GB" w:eastAsia="nl-NL"/>
        </w:rPr>
        <w:t xml:space="preserve"> was buried on 30 November </w:t>
      </w:r>
      <w:smartTag w:uri="urn:schemas-microsoft-com:office:smarttags" w:element="metricconverter">
        <w:smartTagPr>
          <w:attr w:name="ProductID" w:val="2003 in"/>
        </w:smartTagPr>
        <w:r w:rsidRPr="00203B95">
          <w:rPr>
            <w:color w:val="000000"/>
            <w:lang w:val="en-GB" w:eastAsia="nl-NL"/>
          </w:rPr>
          <w:t>2003 in</w:t>
        </w:r>
      </w:smartTag>
      <w:r w:rsidRPr="00203B95">
        <w:rPr>
          <w:color w:val="000000"/>
          <w:lang w:val="en-GB" w:eastAsia="nl-NL"/>
        </w:rPr>
        <w:t xml:space="preserve"> </w:t>
      </w:r>
      <w:proofErr w:type="spellStart"/>
      <w:r w:rsidRPr="00203B95">
        <w:rPr>
          <w:color w:val="000000"/>
          <w:lang w:val="en-GB" w:eastAsia="nl-NL"/>
        </w:rPr>
        <w:t>Hoçë</w:t>
      </w:r>
      <w:proofErr w:type="spellEnd"/>
      <w:r w:rsidRPr="00203B95">
        <w:rPr>
          <w:color w:val="000000"/>
          <w:lang w:val="en-GB" w:eastAsia="nl-NL"/>
        </w:rPr>
        <w:t xml:space="preserve"> e </w:t>
      </w:r>
      <w:proofErr w:type="spellStart"/>
      <w:r w:rsidRPr="00203B95">
        <w:rPr>
          <w:color w:val="000000"/>
          <w:lang w:val="en-GB" w:eastAsia="nl-NL"/>
        </w:rPr>
        <w:t>Madhe</w:t>
      </w:r>
      <w:proofErr w:type="spellEnd"/>
      <w:r w:rsidRPr="00203B95">
        <w:rPr>
          <w:color w:val="000000"/>
          <w:lang w:val="en-GB" w:eastAsia="nl-NL"/>
        </w:rPr>
        <w:t>/</w:t>
      </w:r>
      <w:proofErr w:type="spellStart"/>
      <w:r w:rsidRPr="00203B95">
        <w:rPr>
          <w:color w:val="000000"/>
          <w:lang w:val="en-GB" w:eastAsia="nl-NL"/>
        </w:rPr>
        <w:t>Velika</w:t>
      </w:r>
      <w:proofErr w:type="spellEnd"/>
      <w:r w:rsidRPr="00203B95">
        <w:rPr>
          <w:color w:val="000000"/>
          <w:lang w:val="en-GB" w:eastAsia="nl-NL"/>
        </w:rPr>
        <w:t xml:space="preserve"> </w:t>
      </w:r>
      <w:proofErr w:type="spellStart"/>
      <w:r w:rsidRPr="00203B95">
        <w:rPr>
          <w:color w:val="000000"/>
          <w:lang w:val="en-GB" w:eastAsia="nl-NL"/>
        </w:rPr>
        <w:t>Hoča</w:t>
      </w:r>
      <w:proofErr w:type="spellEnd"/>
      <w:r w:rsidRPr="00203B95">
        <w:rPr>
          <w:color w:val="000000"/>
          <w:lang w:val="en-GB" w:eastAsia="nl-NL"/>
        </w:rPr>
        <w:t xml:space="preserve">.  </w:t>
      </w:r>
    </w:p>
    <w:p w:rsidR="00F8224C" w:rsidRPr="00203B95" w:rsidRDefault="00F8224C" w:rsidP="00F8224C">
      <w:pPr>
        <w:pStyle w:val="ListParagraph"/>
        <w:rPr>
          <w:color w:val="000000"/>
          <w:lang w:val="en-GB" w:eastAsia="nl-NL"/>
        </w:rPr>
      </w:pPr>
    </w:p>
    <w:p w:rsidR="00F8224C" w:rsidRPr="00203B95" w:rsidRDefault="00F8224C" w:rsidP="00556CA2">
      <w:pPr>
        <w:numPr>
          <w:ilvl w:val="0"/>
          <w:numId w:val="12"/>
        </w:numPr>
        <w:autoSpaceDE w:val="0"/>
        <w:autoSpaceDN w:val="0"/>
        <w:adjustRightInd w:val="0"/>
        <w:jc w:val="both"/>
        <w:rPr>
          <w:color w:val="000000"/>
          <w:lang w:val="en-GB" w:eastAsia="nl-NL"/>
        </w:rPr>
      </w:pPr>
      <w:r w:rsidRPr="00203B95">
        <w:rPr>
          <w:color w:val="000000"/>
          <w:lang w:val="en-GB" w:eastAsia="nl-NL"/>
        </w:rPr>
        <w:t>The complainant states that she does not</w:t>
      </w:r>
      <w:r w:rsidR="00883E76" w:rsidRPr="00203B95">
        <w:rPr>
          <w:color w:val="000000"/>
          <w:lang w:val="en-GB" w:eastAsia="nl-NL"/>
        </w:rPr>
        <w:t xml:space="preserve"> know the name</w:t>
      </w:r>
      <w:r w:rsidR="00927FFE" w:rsidRPr="00203B95">
        <w:rPr>
          <w:color w:val="000000"/>
          <w:lang w:val="en-GB" w:eastAsia="nl-NL"/>
        </w:rPr>
        <w:t xml:space="preserve"> of those who</w:t>
      </w:r>
      <w:r w:rsidRPr="00203B95">
        <w:rPr>
          <w:color w:val="000000"/>
          <w:lang w:val="en-GB" w:eastAsia="nl-NL"/>
        </w:rPr>
        <w:t xml:space="preserve"> kidnapped and killed her husband and that he was killed only because o</w:t>
      </w:r>
      <w:r w:rsidR="00883E76" w:rsidRPr="00203B95">
        <w:rPr>
          <w:color w:val="000000"/>
          <w:lang w:val="en-GB" w:eastAsia="nl-NL"/>
        </w:rPr>
        <w:t>f his ethnicity. She states that she</w:t>
      </w:r>
      <w:r w:rsidRPr="00203B95">
        <w:rPr>
          <w:color w:val="000000"/>
          <w:lang w:val="en-GB" w:eastAsia="nl-NL"/>
        </w:rPr>
        <w:t xml:space="preserve"> was pregna</w:t>
      </w:r>
      <w:r w:rsidR="005F50D2" w:rsidRPr="00203B95">
        <w:rPr>
          <w:color w:val="000000"/>
          <w:lang w:val="en-GB" w:eastAsia="nl-NL"/>
        </w:rPr>
        <w:t>n</w:t>
      </w:r>
      <w:r w:rsidR="00883E76" w:rsidRPr="00203B95">
        <w:rPr>
          <w:color w:val="000000"/>
          <w:lang w:val="en-GB" w:eastAsia="nl-NL"/>
        </w:rPr>
        <w:t>t when her husband disappeared and that</w:t>
      </w:r>
      <w:r w:rsidR="005F50D2" w:rsidRPr="00203B95">
        <w:rPr>
          <w:color w:val="000000"/>
          <w:lang w:val="en-GB" w:eastAsia="nl-NL"/>
        </w:rPr>
        <w:t xml:space="preserve"> he</w:t>
      </w:r>
      <w:r w:rsidR="00927FFE" w:rsidRPr="00203B95">
        <w:rPr>
          <w:color w:val="000000"/>
          <w:lang w:val="en-GB" w:eastAsia="nl-NL"/>
        </w:rPr>
        <w:t xml:space="preserve">r child was never able to meet </w:t>
      </w:r>
      <w:r w:rsidR="005F50D2" w:rsidRPr="00203B95">
        <w:rPr>
          <w:color w:val="000000"/>
          <w:lang w:val="en-GB" w:eastAsia="nl-NL"/>
        </w:rPr>
        <w:t>he</w:t>
      </w:r>
      <w:r w:rsidR="00927FFE" w:rsidRPr="00203B95">
        <w:rPr>
          <w:color w:val="000000"/>
          <w:lang w:val="en-GB" w:eastAsia="nl-NL"/>
        </w:rPr>
        <w:t>r</w:t>
      </w:r>
      <w:r w:rsidR="005F50D2" w:rsidRPr="00203B95">
        <w:rPr>
          <w:color w:val="000000"/>
          <w:lang w:val="en-GB" w:eastAsia="nl-NL"/>
        </w:rPr>
        <w:t xml:space="preserve"> father. </w:t>
      </w:r>
    </w:p>
    <w:p w:rsidR="002D6356" w:rsidRPr="00203B95" w:rsidRDefault="002D6356" w:rsidP="002D6356">
      <w:pPr>
        <w:jc w:val="both"/>
        <w:rPr>
          <w:lang w:val="en-GB"/>
        </w:rPr>
      </w:pPr>
    </w:p>
    <w:p w:rsidR="00687A76" w:rsidRPr="00203B95" w:rsidRDefault="00556CA2" w:rsidP="00556CA2">
      <w:pPr>
        <w:pStyle w:val="ListParagraph"/>
        <w:numPr>
          <w:ilvl w:val="0"/>
          <w:numId w:val="12"/>
        </w:numPr>
        <w:jc w:val="both"/>
        <w:rPr>
          <w:lang w:val="en-GB"/>
        </w:rPr>
      </w:pPr>
      <w:r w:rsidRPr="00203B95">
        <w:rPr>
          <w:lang w:val="en-GB"/>
        </w:rPr>
        <w:lastRenderedPageBreak/>
        <w:t>The name of Mr</w:t>
      </w:r>
      <w:r w:rsidRPr="00203B95">
        <w:rPr>
          <w:color w:val="000000"/>
          <w:lang w:val="en-GB" w:eastAsia="nl-NL"/>
        </w:rPr>
        <w:t xml:space="preserve"> </w:t>
      </w:r>
      <w:proofErr w:type="spellStart"/>
      <w:r w:rsidRPr="00203B95">
        <w:rPr>
          <w:color w:val="000000"/>
          <w:lang w:val="en-GB" w:eastAsia="nl-NL"/>
        </w:rPr>
        <w:t>Mlađan</w:t>
      </w:r>
      <w:proofErr w:type="spellEnd"/>
      <w:r w:rsidRPr="00203B95">
        <w:rPr>
          <w:color w:val="000000"/>
          <w:lang w:val="en-GB" w:eastAsia="nl-NL"/>
        </w:rPr>
        <w:t xml:space="preserve"> </w:t>
      </w:r>
      <w:proofErr w:type="spellStart"/>
      <w:r w:rsidRPr="00203B95">
        <w:rPr>
          <w:color w:val="000000"/>
          <w:lang w:val="en-GB" w:eastAsia="nl-NL"/>
        </w:rPr>
        <w:t>Mavrić</w:t>
      </w:r>
      <w:proofErr w:type="spellEnd"/>
      <w:r w:rsidRPr="00203B95">
        <w:rPr>
          <w:color w:val="000000"/>
          <w:lang w:val="en-GB" w:eastAsia="nl-NL"/>
        </w:rPr>
        <w:t xml:space="preserve"> </w:t>
      </w:r>
      <w:r w:rsidR="002D6356" w:rsidRPr="00203B95">
        <w:rPr>
          <w:lang w:val="en-GB"/>
        </w:rPr>
        <w:t xml:space="preserve">appears in the database compiled by the UNMIK </w:t>
      </w:r>
      <w:r w:rsidR="00687A76" w:rsidRPr="00203B95">
        <w:rPr>
          <w:lang w:val="en-GB"/>
        </w:rPr>
        <w:t>OMPF</w:t>
      </w:r>
      <w:r w:rsidR="00687A76" w:rsidRPr="00203B95">
        <w:rPr>
          <w:rStyle w:val="FootnoteReference"/>
          <w:bCs/>
          <w:lang w:val="en-GB"/>
        </w:rPr>
        <w:footnoteReference w:id="3"/>
      </w:r>
      <w:r w:rsidR="00741266" w:rsidRPr="00203B95">
        <w:rPr>
          <w:lang w:val="en-GB"/>
        </w:rPr>
        <w:t xml:space="preserve">. </w:t>
      </w:r>
      <w:r w:rsidR="00687A76" w:rsidRPr="00203B95">
        <w:rPr>
          <w:lang w:val="en-GB"/>
        </w:rPr>
        <w:t xml:space="preserve">The entry in relation to Mr </w:t>
      </w:r>
      <w:proofErr w:type="spellStart"/>
      <w:r w:rsidRPr="00203B95">
        <w:rPr>
          <w:color w:val="000000"/>
          <w:lang w:val="en-GB" w:eastAsia="nl-NL"/>
        </w:rPr>
        <w:t>Mlađan</w:t>
      </w:r>
      <w:proofErr w:type="spellEnd"/>
      <w:r w:rsidRPr="00203B95">
        <w:rPr>
          <w:color w:val="000000"/>
          <w:lang w:val="en-GB" w:eastAsia="nl-NL"/>
        </w:rPr>
        <w:t xml:space="preserve"> </w:t>
      </w:r>
      <w:proofErr w:type="spellStart"/>
      <w:r w:rsidRPr="00203B95">
        <w:rPr>
          <w:color w:val="000000"/>
          <w:lang w:val="en-GB" w:eastAsia="nl-NL"/>
        </w:rPr>
        <w:t>Mavrić</w:t>
      </w:r>
      <w:proofErr w:type="spellEnd"/>
      <w:r w:rsidRPr="00203B95">
        <w:rPr>
          <w:color w:val="000000"/>
          <w:lang w:val="en-GB" w:eastAsia="nl-NL"/>
        </w:rPr>
        <w:t xml:space="preserve"> </w:t>
      </w:r>
      <w:r w:rsidR="00687A76" w:rsidRPr="00203B95">
        <w:rPr>
          <w:bCs/>
          <w:lang w:val="en-GB"/>
        </w:rPr>
        <w:t xml:space="preserve">in the </w:t>
      </w:r>
      <w:r w:rsidR="00687A76" w:rsidRPr="00203B95">
        <w:rPr>
          <w:lang w:val="en-GB"/>
        </w:rPr>
        <w:t>online database maintained by the ICMP</w:t>
      </w:r>
      <w:r w:rsidR="00687A76" w:rsidRPr="00203B95">
        <w:rPr>
          <w:vertAlign w:val="superscript"/>
          <w:lang w:val="en-GB"/>
        </w:rPr>
        <w:footnoteReference w:id="4"/>
      </w:r>
      <w:r w:rsidR="001D3B8A" w:rsidRPr="00203B95">
        <w:rPr>
          <w:lang w:val="en-GB"/>
        </w:rPr>
        <w:t xml:space="preserve"> reads in</w:t>
      </w:r>
      <w:r w:rsidR="00687A76" w:rsidRPr="00203B95">
        <w:rPr>
          <w:lang w:val="en-GB"/>
        </w:rPr>
        <w:t xml:space="preserve"> relevant fields: “Sufficient Reference Samples Collected” and “</w:t>
      </w:r>
      <w:r w:rsidRPr="00203B95">
        <w:rPr>
          <w:lang w:val="en-GB"/>
        </w:rPr>
        <w:t xml:space="preserve">ICMP has provided information on this missing person on 11-06-2003 to authorized institution. </w:t>
      </w:r>
      <w:r w:rsidR="00687A76" w:rsidRPr="00203B95">
        <w:rPr>
          <w:lang w:val="en-GB"/>
        </w:rPr>
        <w:t>To obtain additional information, contact EULEX Kosovo Headquarters.”</w:t>
      </w:r>
      <w:r w:rsidR="00687A76" w:rsidRPr="00203B95">
        <w:rPr>
          <w:bCs/>
          <w:lang w:val="en-GB"/>
        </w:rPr>
        <w:t xml:space="preserve"> </w:t>
      </w:r>
    </w:p>
    <w:p w:rsidR="00594F5E" w:rsidRPr="00594F5E" w:rsidRDefault="00594F5E" w:rsidP="00594F5E">
      <w:pPr>
        <w:jc w:val="both"/>
        <w:rPr>
          <w:highlight w:val="yellow"/>
          <w:lang w:eastAsia="nl-NL"/>
        </w:rPr>
      </w:pPr>
    </w:p>
    <w:p w:rsidR="00594F5E" w:rsidRPr="0099158B" w:rsidRDefault="00594F5E" w:rsidP="00594F5E">
      <w:pPr>
        <w:rPr>
          <w:lang w:val="en-GB"/>
        </w:rPr>
      </w:pPr>
      <w:r>
        <w:rPr>
          <w:b/>
          <w:lang w:val="en-GB"/>
        </w:rPr>
        <w:t xml:space="preserve">C. </w:t>
      </w:r>
      <w:r w:rsidRPr="0099158B">
        <w:rPr>
          <w:b/>
          <w:lang w:val="en-GB"/>
        </w:rPr>
        <w:t xml:space="preserve"> The investigation</w:t>
      </w:r>
    </w:p>
    <w:p w:rsidR="00594F5E" w:rsidRPr="0099158B" w:rsidRDefault="00594F5E" w:rsidP="00594F5E">
      <w:pPr>
        <w:pStyle w:val="ListParagraph"/>
        <w:jc w:val="both"/>
        <w:rPr>
          <w:i/>
          <w:lang w:val="en-GB"/>
        </w:rPr>
      </w:pPr>
    </w:p>
    <w:p w:rsidR="00594F5E" w:rsidRDefault="00594F5E" w:rsidP="00594F5E">
      <w:pPr>
        <w:pStyle w:val="ListParagraph"/>
        <w:numPr>
          <w:ilvl w:val="0"/>
          <w:numId w:val="9"/>
        </w:numPr>
        <w:ind w:left="360"/>
        <w:jc w:val="both"/>
        <w:rPr>
          <w:i/>
          <w:lang w:val="en-GB"/>
        </w:rPr>
      </w:pPr>
      <w:r w:rsidRPr="0099158B">
        <w:rPr>
          <w:i/>
          <w:lang w:val="en-GB"/>
        </w:rPr>
        <w:t>Disclosure of relevant files</w:t>
      </w:r>
    </w:p>
    <w:p w:rsidR="00594F5E" w:rsidRDefault="00594F5E" w:rsidP="004D13F9">
      <w:pPr>
        <w:jc w:val="both"/>
        <w:rPr>
          <w:lang w:eastAsia="nl-NL"/>
        </w:rPr>
      </w:pPr>
    </w:p>
    <w:p w:rsidR="00594F5E" w:rsidRPr="00A81C0C" w:rsidRDefault="00594F5E" w:rsidP="00594F5E">
      <w:pPr>
        <w:pStyle w:val="ListParagraph"/>
        <w:numPr>
          <w:ilvl w:val="0"/>
          <w:numId w:val="12"/>
        </w:numPr>
        <w:jc w:val="both"/>
        <w:rPr>
          <w:lang w:eastAsia="nl-NL"/>
        </w:rPr>
      </w:pPr>
      <w:r w:rsidRPr="00A81C0C">
        <w:rPr>
          <w:lang w:eastAsia="nl-NL"/>
        </w:rPr>
        <w:t>In the present case, the Panel received from UNMIK</w:t>
      </w:r>
      <w:r w:rsidR="00FB5F7B" w:rsidRPr="00A81C0C">
        <w:rPr>
          <w:lang w:eastAsia="nl-NL"/>
        </w:rPr>
        <w:t xml:space="preserve"> only the</w:t>
      </w:r>
      <w:r w:rsidRPr="00A81C0C">
        <w:rPr>
          <w:lang w:eastAsia="nl-NL"/>
        </w:rPr>
        <w:t xml:space="preserve"> investigative documents pr</w:t>
      </w:r>
      <w:r w:rsidR="00FC68F0" w:rsidRPr="00A81C0C">
        <w:rPr>
          <w:lang w:eastAsia="nl-NL"/>
        </w:rPr>
        <w:t xml:space="preserve">eviously held by the UNMIK OMPF. </w:t>
      </w:r>
    </w:p>
    <w:p w:rsidR="00FB5F7B" w:rsidRDefault="00FB5F7B" w:rsidP="00FB5F7B">
      <w:pPr>
        <w:pStyle w:val="ListParagraph"/>
        <w:ind w:left="360"/>
        <w:jc w:val="both"/>
        <w:rPr>
          <w:lang w:eastAsia="nl-NL"/>
        </w:rPr>
      </w:pPr>
    </w:p>
    <w:p w:rsidR="00594F5E" w:rsidRPr="00A81C0C" w:rsidRDefault="00594F5E" w:rsidP="00594F5E">
      <w:pPr>
        <w:pStyle w:val="ListParagraph"/>
        <w:numPr>
          <w:ilvl w:val="0"/>
          <w:numId w:val="12"/>
        </w:numPr>
        <w:suppressAutoHyphens w:val="0"/>
        <w:jc w:val="both"/>
        <w:rPr>
          <w:lang w:eastAsia="nl-NL"/>
        </w:rPr>
      </w:pPr>
      <w:r w:rsidRPr="00CD624F">
        <w:rPr>
          <w:lang w:val="en-GB"/>
        </w:rPr>
        <w:t xml:space="preserve">Concerning disclosure of information contained in the files, the Panel recalls that UNMIK has made available investigative files for the Panel’s review under a pledge of </w:t>
      </w:r>
      <w:r w:rsidRPr="00A81C0C">
        <w:rPr>
          <w:lang w:val="en-GB"/>
        </w:rPr>
        <w:t xml:space="preserve">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F81E98" w:rsidRPr="00A81C0C" w:rsidRDefault="00F81E98" w:rsidP="00594F5E">
      <w:pPr>
        <w:jc w:val="both"/>
        <w:rPr>
          <w:i/>
          <w:lang w:val="en-GB"/>
        </w:rPr>
      </w:pPr>
      <w:bookmarkStart w:id="10" w:name="_Ref347322102"/>
      <w:bookmarkEnd w:id="9"/>
    </w:p>
    <w:p w:rsidR="00F81E98" w:rsidRPr="00A81C0C" w:rsidRDefault="00282B40" w:rsidP="00F81E98">
      <w:pPr>
        <w:pStyle w:val="ListParagraph"/>
        <w:numPr>
          <w:ilvl w:val="0"/>
          <w:numId w:val="9"/>
        </w:numPr>
        <w:ind w:left="360"/>
        <w:jc w:val="both"/>
        <w:rPr>
          <w:i/>
          <w:lang w:val="en-GB"/>
        </w:rPr>
      </w:pPr>
      <w:bookmarkStart w:id="11" w:name="_Ref390941453"/>
      <w:bookmarkStart w:id="12" w:name="_Ref379793268"/>
      <w:bookmarkStart w:id="13" w:name="_Ref387243421"/>
      <w:bookmarkStart w:id="14" w:name="_Ref389147442"/>
      <w:bookmarkEnd w:id="10"/>
      <w:r w:rsidRPr="00A81C0C">
        <w:rPr>
          <w:i/>
          <w:lang w:val="en-GB"/>
        </w:rPr>
        <w:t>The OMPF file</w:t>
      </w:r>
      <w:r w:rsidR="00FC68F0" w:rsidRPr="00A81C0C">
        <w:rPr>
          <w:i/>
          <w:lang w:val="en-GB"/>
        </w:rPr>
        <w:t xml:space="preserve"> concerning Mr </w:t>
      </w:r>
      <w:proofErr w:type="spellStart"/>
      <w:r w:rsidR="00FC68F0" w:rsidRPr="00A81C0C">
        <w:rPr>
          <w:i/>
          <w:lang w:val="en-GB"/>
        </w:rPr>
        <w:t>Mlađan</w:t>
      </w:r>
      <w:proofErr w:type="spellEnd"/>
      <w:r w:rsidR="00FC68F0" w:rsidRPr="00A81C0C">
        <w:rPr>
          <w:i/>
          <w:lang w:val="en-GB"/>
        </w:rPr>
        <w:t xml:space="preserve"> </w:t>
      </w:r>
      <w:proofErr w:type="spellStart"/>
      <w:r w:rsidR="00FC68F0" w:rsidRPr="00A81C0C">
        <w:rPr>
          <w:i/>
          <w:lang w:val="en-GB"/>
        </w:rPr>
        <w:t>Mavrić</w:t>
      </w:r>
      <w:proofErr w:type="spellEnd"/>
    </w:p>
    <w:p w:rsidR="00585F9E" w:rsidRPr="00A81C0C" w:rsidRDefault="00585F9E" w:rsidP="00585F9E">
      <w:pPr>
        <w:rPr>
          <w:lang w:val="en-GB"/>
        </w:rPr>
      </w:pPr>
    </w:p>
    <w:p w:rsidR="00585F9E" w:rsidRPr="00A81C0C" w:rsidRDefault="00585F9E" w:rsidP="00585F9E">
      <w:pPr>
        <w:pStyle w:val="ListParagraph"/>
        <w:widowControl w:val="0"/>
        <w:numPr>
          <w:ilvl w:val="0"/>
          <w:numId w:val="10"/>
        </w:numPr>
        <w:tabs>
          <w:tab w:val="left" w:pos="1080"/>
        </w:tabs>
        <w:jc w:val="both"/>
        <w:rPr>
          <w:bCs/>
          <w:lang w:val="en-GB"/>
        </w:rPr>
      </w:pPr>
      <w:r w:rsidRPr="00A81C0C">
        <w:rPr>
          <w:lang w:val="en-GB"/>
        </w:rPr>
        <w:t xml:space="preserve">The earliest document in the OMPF file is an ICRC Victim Identification Form for Mr </w:t>
      </w:r>
      <w:proofErr w:type="spellStart"/>
      <w:r w:rsidRPr="00A81C0C">
        <w:rPr>
          <w:lang w:val="en-GB"/>
        </w:rPr>
        <w:t>Mlađan</w:t>
      </w:r>
      <w:proofErr w:type="spellEnd"/>
      <w:r w:rsidRPr="00A81C0C">
        <w:rPr>
          <w:lang w:val="en-GB"/>
        </w:rPr>
        <w:t xml:space="preserve"> </w:t>
      </w:r>
      <w:proofErr w:type="spellStart"/>
      <w:r w:rsidRPr="00A81C0C">
        <w:rPr>
          <w:lang w:val="en-GB"/>
        </w:rPr>
        <w:t>Mavrić</w:t>
      </w:r>
      <w:proofErr w:type="spellEnd"/>
      <w:r w:rsidRPr="00A81C0C">
        <w:rPr>
          <w:lang w:val="en-GB"/>
        </w:rPr>
        <w:t xml:space="preserve"> dated 16 August 2001. Besides containing ante-mortem information concerning Mr </w:t>
      </w:r>
      <w:proofErr w:type="spellStart"/>
      <w:r w:rsidRPr="00A81C0C">
        <w:rPr>
          <w:lang w:val="en-GB"/>
        </w:rPr>
        <w:t>Mlađan</w:t>
      </w:r>
      <w:proofErr w:type="spellEnd"/>
      <w:r w:rsidRPr="00A81C0C">
        <w:rPr>
          <w:lang w:val="en-GB"/>
        </w:rPr>
        <w:t xml:space="preserve"> </w:t>
      </w:r>
      <w:proofErr w:type="spellStart"/>
      <w:r w:rsidRPr="00A81C0C">
        <w:rPr>
          <w:lang w:val="en-GB"/>
        </w:rPr>
        <w:t>Mavrić</w:t>
      </w:r>
      <w:proofErr w:type="spellEnd"/>
      <w:r w:rsidRPr="00A81C0C">
        <w:rPr>
          <w:lang w:val="en-GB"/>
        </w:rPr>
        <w:t>, the Form provides the full address and telephone number</w:t>
      </w:r>
      <w:r w:rsidR="00883E76" w:rsidRPr="00A81C0C">
        <w:rPr>
          <w:lang w:val="en-GB"/>
        </w:rPr>
        <w:t xml:space="preserve"> in Kosovo</w:t>
      </w:r>
      <w:r w:rsidRPr="00A81C0C">
        <w:rPr>
          <w:lang w:val="en-GB"/>
        </w:rPr>
        <w:t xml:space="preserve"> of Mr </w:t>
      </w:r>
      <w:proofErr w:type="spellStart"/>
      <w:r w:rsidRPr="00A81C0C">
        <w:rPr>
          <w:lang w:val="en-GB"/>
        </w:rPr>
        <w:t>Ml</w:t>
      </w:r>
      <w:r w:rsidR="00883E76" w:rsidRPr="00A81C0C">
        <w:rPr>
          <w:lang w:val="en-GB"/>
        </w:rPr>
        <w:t>ađan</w:t>
      </w:r>
      <w:proofErr w:type="spellEnd"/>
      <w:r w:rsidR="00883E76" w:rsidRPr="00A81C0C">
        <w:rPr>
          <w:lang w:val="en-GB"/>
        </w:rPr>
        <w:t xml:space="preserve"> </w:t>
      </w:r>
      <w:proofErr w:type="spellStart"/>
      <w:r w:rsidR="00883E76" w:rsidRPr="00A81C0C">
        <w:rPr>
          <w:lang w:val="en-GB"/>
        </w:rPr>
        <w:t>Mavrić’s</w:t>
      </w:r>
      <w:proofErr w:type="spellEnd"/>
      <w:r w:rsidR="00883E76" w:rsidRPr="00A81C0C">
        <w:rPr>
          <w:lang w:val="en-GB"/>
        </w:rPr>
        <w:t xml:space="preserve"> brother.</w:t>
      </w:r>
      <w:r w:rsidRPr="00A81C0C">
        <w:rPr>
          <w:lang w:val="en-GB"/>
        </w:rPr>
        <w:t xml:space="preserve"> </w:t>
      </w:r>
    </w:p>
    <w:p w:rsidR="00585F9E" w:rsidRPr="00A81C0C" w:rsidRDefault="00585F9E" w:rsidP="00585F9E">
      <w:pPr>
        <w:pStyle w:val="ListParagraph"/>
        <w:suppressAutoHyphens w:val="0"/>
        <w:ind w:left="360"/>
        <w:jc w:val="both"/>
        <w:rPr>
          <w:lang w:eastAsia="nl-NL"/>
        </w:rPr>
      </w:pPr>
    </w:p>
    <w:p w:rsidR="0067630B" w:rsidRPr="00A81C0C" w:rsidRDefault="0067630B" w:rsidP="00E673F9">
      <w:pPr>
        <w:pStyle w:val="ListParagraph"/>
        <w:numPr>
          <w:ilvl w:val="0"/>
          <w:numId w:val="10"/>
        </w:numPr>
        <w:suppressAutoHyphens w:val="0"/>
        <w:jc w:val="both"/>
        <w:rPr>
          <w:lang w:eastAsia="nl-NL"/>
        </w:rPr>
      </w:pPr>
      <w:r w:rsidRPr="00A81C0C">
        <w:rPr>
          <w:lang w:eastAsia="nl-NL"/>
        </w:rPr>
        <w:t xml:space="preserve">The </w:t>
      </w:r>
      <w:r w:rsidR="00585F9E" w:rsidRPr="00A81C0C">
        <w:rPr>
          <w:lang w:eastAsia="nl-NL"/>
        </w:rPr>
        <w:t>file also contains an</w:t>
      </w:r>
      <w:r w:rsidRPr="00A81C0C">
        <w:rPr>
          <w:lang w:eastAsia="nl-NL"/>
        </w:rPr>
        <w:t xml:space="preserve"> MPU </w:t>
      </w:r>
      <w:r w:rsidR="00E673F9" w:rsidRPr="00A81C0C">
        <w:rPr>
          <w:lang w:eastAsia="nl-NL"/>
        </w:rPr>
        <w:t xml:space="preserve">Case Continuation Report concerning Mr </w:t>
      </w:r>
      <w:proofErr w:type="spellStart"/>
      <w:r w:rsidR="00E673F9" w:rsidRPr="00A81C0C">
        <w:rPr>
          <w:lang w:eastAsia="nl-NL"/>
        </w:rPr>
        <w:t>Mlađan</w:t>
      </w:r>
      <w:proofErr w:type="spellEnd"/>
      <w:r w:rsidR="00E673F9" w:rsidRPr="00A81C0C">
        <w:rPr>
          <w:lang w:eastAsia="nl-NL"/>
        </w:rPr>
        <w:t xml:space="preserve"> </w:t>
      </w:r>
      <w:proofErr w:type="spellStart"/>
      <w:r w:rsidR="00E673F9" w:rsidRPr="00A81C0C">
        <w:rPr>
          <w:lang w:eastAsia="nl-NL"/>
        </w:rPr>
        <w:t>Mavrić</w:t>
      </w:r>
      <w:proofErr w:type="spellEnd"/>
      <w:r w:rsidR="00E673F9" w:rsidRPr="00A81C0C">
        <w:rPr>
          <w:lang w:eastAsia="nl-NL"/>
        </w:rPr>
        <w:t xml:space="preserve"> affixed with MPU case file no. 2001-001222. The Report has three entries, dated respectively 27 August 2001, 8 September 2001, and 10 September 2001. The </w:t>
      </w:r>
      <w:r w:rsidR="003A521C" w:rsidRPr="00A81C0C">
        <w:rPr>
          <w:lang w:eastAsia="nl-NL"/>
        </w:rPr>
        <w:t>first and the second entry read</w:t>
      </w:r>
      <w:r w:rsidR="00E673F9" w:rsidRPr="00A81C0C">
        <w:rPr>
          <w:lang w:eastAsia="nl-NL"/>
        </w:rPr>
        <w:t xml:space="preserve"> “D.B. input – ok” and “DVI-input ok”</w:t>
      </w:r>
      <w:r w:rsidR="00883E76" w:rsidRPr="00A81C0C">
        <w:rPr>
          <w:lang w:eastAsia="nl-NL"/>
        </w:rPr>
        <w:t xml:space="preserve"> respectively</w:t>
      </w:r>
      <w:r w:rsidR="00E673F9" w:rsidRPr="00A81C0C">
        <w:rPr>
          <w:lang w:eastAsia="nl-NL"/>
        </w:rPr>
        <w:t xml:space="preserve">, and suggest that the ante-mortem data on Mr </w:t>
      </w:r>
      <w:proofErr w:type="spellStart"/>
      <w:r w:rsidR="00E673F9" w:rsidRPr="00A81C0C">
        <w:rPr>
          <w:lang w:eastAsia="nl-NL"/>
        </w:rPr>
        <w:t>Mlađan</w:t>
      </w:r>
      <w:proofErr w:type="spellEnd"/>
      <w:r w:rsidR="00E673F9" w:rsidRPr="00A81C0C">
        <w:rPr>
          <w:lang w:eastAsia="nl-NL"/>
        </w:rPr>
        <w:t xml:space="preserve"> </w:t>
      </w:r>
      <w:proofErr w:type="spellStart"/>
      <w:r w:rsidR="00E673F9" w:rsidRPr="00A81C0C">
        <w:rPr>
          <w:lang w:eastAsia="nl-NL"/>
        </w:rPr>
        <w:t>Mavrić</w:t>
      </w:r>
      <w:proofErr w:type="spellEnd"/>
      <w:r w:rsidR="00883E76" w:rsidRPr="00A81C0C">
        <w:rPr>
          <w:lang w:eastAsia="nl-NL"/>
        </w:rPr>
        <w:t xml:space="preserve"> transmitted by the ICRC</w:t>
      </w:r>
      <w:r w:rsidR="00E673F9" w:rsidRPr="00A81C0C">
        <w:rPr>
          <w:lang w:eastAsia="nl-NL"/>
        </w:rPr>
        <w:t xml:space="preserve"> was inputted in the MPU database on the </w:t>
      </w:r>
      <w:r w:rsidR="00585F9E" w:rsidRPr="00A81C0C">
        <w:rPr>
          <w:lang w:eastAsia="nl-NL"/>
        </w:rPr>
        <w:t xml:space="preserve">above mentioned </w:t>
      </w:r>
      <w:r w:rsidR="00E673F9" w:rsidRPr="00A81C0C">
        <w:rPr>
          <w:lang w:eastAsia="nl-NL"/>
        </w:rPr>
        <w:t xml:space="preserve">dates. The third entry reads: “photo from German KFOR”. </w:t>
      </w:r>
    </w:p>
    <w:p w:rsidR="00E673F9" w:rsidRPr="00A81C0C" w:rsidRDefault="00E673F9" w:rsidP="00E673F9">
      <w:pPr>
        <w:pStyle w:val="ListParagraph"/>
        <w:suppressAutoHyphens w:val="0"/>
        <w:ind w:left="360"/>
        <w:jc w:val="both"/>
        <w:rPr>
          <w:lang w:eastAsia="nl-NL"/>
        </w:rPr>
      </w:pPr>
    </w:p>
    <w:p w:rsidR="00B02386" w:rsidRPr="00A81C0C" w:rsidRDefault="0067630B" w:rsidP="00B02386">
      <w:pPr>
        <w:pStyle w:val="ListParagraph"/>
        <w:numPr>
          <w:ilvl w:val="0"/>
          <w:numId w:val="10"/>
        </w:numPr>
        <w:suppressAutoHyphens w:val="0"/>
        <w:jc w:val="both"/>
        <w:rPr>
          <w:lang w:eastAsia="nl-NL"/>
        </w:rPr>
      </w:pPr>
      <w:r w:rsidRPr="00A81C0C">
        <w:rPr>
          <w:lang w:eastAsia="nl-NL"/>
        </w:rPr>
        <w:t>A printout of the UNMIK OMPF database, generated on 12 November 2003, states that a post-mortem investigation took place on 22 November 2002, after human remains of an unknown person</w:t>
      </w:r>
      <w:r w:rsidR="00585F9E" w:rsidRPr="00A81C0C">
        <w:rPr>
          <w:lang w:eastAsia="nl-NL"/>
        </w:rPr>
        <w:t xml:space="preserve">, later identified as </w:t>
      </w:r>
      <w:r w:rsidR="00585F9E" w:rsidRPr="00A81C0C">
        <w:rPr>
          <w:lang w:val="en-GB" w:eastAsia="nl-NL"/>
        </w:rPr>
        <w:t xml:space="preserve">Mr </w:t>
      </w:r>
      <w:proofErr w:type="spellStart"/>
      <w:r w:rsidR="00585F9E" w:rsidRPr="00A81C0C">
        <w:rPr>
          <w:lang w:val="en-GB" w:eastAsia="nl-NL"/>
        </w:rPr>
        <w:t>Mlađan</w:t>
      </w:r>
      <w:proofErr w:type="spellEnd"/>
      <w:r w:rsidR="00585F9E" w:rsidRPr="00A81C0C">
        <w:rPr>
          <w:lang w:val="en-GB" w:eastAsia="nl-NL"/>
        </w:rPr>
        <w:t xml:space="preserve"> </w:t>
      </w:r>
      <w:proofErr w:type="spellStart"/>
      <w:r w:rsidR="00585F9E" w:rsidRPr="00A81C0C">
        <w:rPr>
          <w:lang w:val="en-GB" w:eastAsia="nl-NL"/>
        </w:rPr>
        <w:t>Mavrić</w:t>
      </w:r>
      <w:proofErr w:type="spellEnd"/>
      <w:r w:rsidR="00585F9E" w:rsidRPr="00A81C0C">
        <w:rPr>
          <w:lang w:val="en-GB" w:eastAsia="nl-NL"/>
        </w:rPr>
        <w:t>,</w:t>
      </w:r>
      <w:r w:rsidR="00585F9E" w:rsidRPr="00A81C0C">
        <w:rPr>
          <w:lang w:eastAsia="nl-NL"/>
        </w:rPr>
        <w:t xml:space="preserve"> </w:t>
      </w:r>
      <w:r w:rsidRPr="00A81C0C">
        <w:rPr>
          <w:lang w:eastAsia="nl-NL"/>
        </w:rPr>
        <w:t xml:space="preserve">were located “on surface in a forest” near the village of  </w:t>
      </w:r>
      <w:proofErr w:type="spellStart"/>
      <w:r w:rsidRPr="00A81C0C">
        <w:rPr>
          <w:color w:val="000000"/>
          <w:lang w:val="en-GB" w:eastAsia="nl-NL"/>
        </w:rPr>
        <w:t>Brestovc</w:t>
      </w:r>
      <w:proofErr w:type="spellEnd"/>
      <w:r w:rsidRPr="00A81C0C">
        <w:rPr>
          <w:color w:val="000000"/>
          <w:lang w:val="en-GB" w:eastAsia="nl-NL"/>
        </w:rPr>
        <w:t>/</w:t>
      </w:r>
      <w:proofErr w:type="spellStart"/>
      <w:r w:rsidRPr="00A81C0C">
        <w:rPr>
          <w:color w:val="000000"/>
          <w:lang w:val="en-GB" w:eastAsia="nl-NL"/>
        </w:rPr>
        <w:t>Brestovac</w:t>
      </w:r>
      <w:proofErr w:type="spellEnd"/>
      <w:r w:rsidRPr="00A81C0C">
        <w:rPr>
          <w:color w:val="000000"/>
          <w:lang w:val="en-GB" w:eastAsia="nl-NL"/>
        </w:rPr>
        <w:t xml:space="preserve">. </w:t>
      </w:r>
    </w:p>
    <w:p w:rsidR="00B02386" w:rsidRPr="00A81C0C" w:rsidRDefault="00B02386" w:rsidP="00B02386">
      <w:pPr>
        <w:pStyle w:val="ListParagraph"/>
        <w:rPr>
          <w:lang w:eastAsia="nl-NL"/>
        </w:rPr>
      </w:pPr>
    </w:p>
    <w:p w:rsidR="00B02386" w:rsidRPr="00A81C0C" w:rsidRDefault="00B02386" w:rsidP="00B02386">
      <w:pPr>
        <w:pStyle w:val="ListParagraph"/>
        <w:numPr>
          <w:ilvl w:val="0"/>
          <w:numId w:val="10"/>
        </w:numPr>
        <w:suppressAutoHyphens w:val="0"/>
        <w:jc w:val="both"/>
        <w:rPr>
          <w:lang w:eastAsia="nl-NL"/>
        </w:rPr>
      </w:pPr>
      <w:r w:rsidRPr="00A81C0C">
        <w:rPr>
          <w:lang w:eastAsia="nl-NL"/>
        </w:rPr>
        <w:t xml:space="preserve">According to an OMPF </w:t>
      </w:r>
      <w:r w:rsidR="00E303B5" w:rsidRPr="00A81C0C">
        <w:rPr>
          <w:lang w:eastAsia="nl-NL"/>
        </w:rPr>
        <w:t>Autopsy</w:t>
      </w:r>
      <w:r w:rsidRPr="00A81C0C">
        <w:rPr>
          <w:lang w:eastAsia="nl-NL"/>
        </w:rPr>
        <w:t xml:space="preserve"> Report included in the file,</w:t>
      </w:r>
      <w:r w:rsidR="00927FFE" w:rsidRPr="00A81C0C">
        <w:rPr>
          <w:lang w:eastAsia="nl-NL"/>
        </w:rPr>
        <w:t xml:space="preserve"> on 2 December 2002</w:t>
      </w:r>
      <w:r w:rsidRPr="00A81C0C">
        <w:rPr>
          <w:lang w:eastAsia="nl-NL"/>
        </w:rPr>
        <w:t xml:space="preserve"> the OMPF conducted an autopsy on the mortal remains discovered in </w:t>
      </w:r>
      <w:proofErr w:type="spellStart"/>
      <w:r w:rsidRPr="00A81C0C">
        <w:rPr>
          <w:color w:val="000000"/>
          <w:lang w:val="en-GB" w:eastAsia="nl-NL"/>
        </w:rPr>
        <w:t>Brestovc</w:t>
      </w:r>
      <w:proofErr w:type="spellEnd"/>
      <w:r w:rsidRPr="00A81C0C">
        <w:rPr>
          <w:color w:val="000000"/>
          <w:lang w:val="en-GB" w:eastAsia="nl-NL"/>
        </w:rPr>
        <w:t>/</w:t>
      </w:r>
      <w:proofErr w:type="spellStart"/>
      <w:r w:rsidRPr="00A81C0C">
        <w:rPr>
          <w:color w:val="000000"/>
          <w:lang w:val="en-GB" w:eastAsia="nl-NL"/>
        </w:rPr>
        <w:t>Brestovac</w:t>
      </w:r>
      <w:proofErr w:type="spellEnd"/>
      <w:r w:rsidRPr="00A81C0C">
        <w:rPr>
          <w:color w:val="000000"/>
          <w:lang w:val="en-GB" w:eastAsia="nl-NL"/>
        </w:rPr>
        <w:t xml:space="preserve">, establishing that the death had been caused by “gunshot wounds to the head”. </w:t>
      </w:r>
    </w:p>
    <w:p w:rsidR="00B02386" w:rsidRPr="00A81C0C" w:rsidRDefault="00B02386" w:rsidP="00B02386">
      <w:pPr>
        <w:pStyle w:val="ListParagraph"/>
        <w:rPr>
          <w:lang w:eastAsia="nl-NL"/>
        </w:rPr>
      </w:pPr>
    </w:p>
    <w:p w:rsidR="00B02386" w:rsidRPr="00A81C0C" w:rsidRDefault="00C808C9" w:rsidP="00B02386">
      <w:pPr>
        <w:pStyle w:val="ListParagraph"/>
        <w:numPr>
          <w:ilvl w:val="0"/>
          <w:numId w:val="10"/>
        </w:numPr>
        <w:suppressAutoHyphens w:val="0"/>
        <w:jc w:val="both"/>
        <w:rPr>
          <w:lang w:eastAsia="nl-NL"/>
        </w:rPr>
      </w:pPr>
      <w:r w:rsidRPr="00A81C0C">
        <w:rPr>
          <w:lang w:eastAsia="nl-NL"/>
        </w:rPr>
        <w:lastRenderedPageBreak/>
        <w:t xml:space="preserve"> </w:t>
      </w:r>
      <w:r w:rsidR="00B02386" w:rsidRPr="00A81C0C">
        <w:rPr>
          <w:lang w:eastAsia="nl-NL"/>
        </w:rPr>
        <w:t xml:space="preserve">On </w:t>
      </w:r>
      <w:r w:rsidRPr="00A81C0C">
        <w:rPr>
          <w:lang w:eastAsia="nl-NL"/>
        </w:rPr>
        <w:t>4 Nov</w:t>
      </w:r>
      <w:r w:rsidR="00B02386" w:rsidRPr="00A81C0C">
        <w:rPr>
          <w:lang w:eastAsia="nl-NL"/>
        </w:rPr>
        <w:t>ember</w:t>
      </w:r>
      <w:r w:rsidRPr="00A81C0C">
        <w:rPr>
          <w:lang w:eastAsia="nl-NL"/>
        </w:rPr>
        <w:t xml:space="preserve"> 2003</w:t>
      </w:r>
      <w:r w:rsidR="00B02386" w:rsidRPr="00A81C0C">
        <w:rPr>
          <w:lang w:eastAsia="nl-NL"/>
        </w:rPr>
        <w:t>, the</w:t>
      </w:r>
      <w:r w:rsidRPr="00A81C0C">
        <w:rPr>
          <w:lang w:eastAsia="nl-NL"/>
        </w:rPr>
        <w:t xml:space="preserve"> ICMP</w:t>
      </w:r>
      <w:r w:rsidR="00B02386" w:rsidRPr="00A81C0C">
        <w:rPr>
          <w:lang w:eastAsia="nl-NL"/>
        </w:rPr>
        <w:t xml:space="preserve"> issued a DNA R</w:t>
      </w:r>
      <w:r w:rsidRPr="00A81C0C">
        <w:rPr>
          <w:lang w:eastAsia="nl-NL"/>
        </w:rPr>
        <w:t>eport</w:t>
      </w:r>
      <w:r w:rsidR="00B02386" w:rsidRPr="00A81C0C">
        <w:rPr>
          <w:lang w:eastAsia="nl-NL"/>
        </w:rPr>
        <w:t xml:space="preserve"> confirming</w:t>
      </w:r>
      <w:r w:rsidR="00883E76" w:rsidRPr="00A81C0C">
        <w:rPr>
          <w:lang w:eastAsia="nl-NL"/>
        </w:rPr>
        <w:t xml:space="preserve"> that</w:t>
      </w:r>
      <w:r w:rsidR="00B02386" w:rsidRPr="00A81C0C">
        <w:rPr>
          <w:lang w:eastAsia="nl-NL"/>
        </w:rPr>
        <w:t xml:space="preserve"> the mortal remains located in </w:t>
      </w:r>
      <w:proofErr w:type="spellStart"/>
      <w:r w:rsidR="00B02386" w:rsidRPr="00A81C0C">
        <w:rPr>
          <w:color w:val="000000"/>
          <w:lang w:val="en-GB" w:eastAsia="nl-NL"/>
        </w:rPr>
        <w:t>Brestovc</w:t>
      </w:r>
      <w:proofErr w:type="spellEnd"/>
      <w:r w:rsidR="00B02386" w:rsidRPr="00A81C0C">
        <w:rPr>
          <w:color w:val="000000"/>
          <w:lang w:val="en-GB" w:eastAsia="nl-NL"/>
        </w:rPr>
        <w:t>/</w:t>
      </w:r>
      <w:proofErr w:type="spellStart"/>
      <w:r w:rsidR="00B02386" w:rsidRPr="00A81C0C">
        <w:rPr>
          <w:color w:val="000000"/>
          <w:lang w:val="en-GB" w:eastAsia="nl-NL"/>
        </w:rPr>
        <w:t>Brestovac</w:t>
      </w:r>
      <w:proofErr w:type="spellEnd"/>
      <w:r w:rsidR="00B02386" w:rsidRPr="00A81C0C">
        <w:rPr>
          <w:color w:val="000000"/>
          <w:lang w:val="en-GB" w:eastAsia="nl-NL"/>
        </w:rPr>
        <w:t xml:space="preserve"> were those of </w:t>
      </w:r>
      <w:r w:rsidR="00B02386" w:rsidRPr="00A81C0C">
        <w:rPr>
          <w:lang w:val="en-GB" w:eastAsia="nl-NL"/>
        </w:rPr>
        <w:t xml:space="preserve">Mr </w:t>
      </w:r>
      <w:proofErr w:type="spellStart"/>
      <w:r w:rsidR="00B02386" w:rsidRPr="00A81C0C">
        <w:rPr>
          <w:lang w:val="en-GB" w:eastAsia="nl-NL"/>
        </w:rPr>
        <w:t>Mlađan</w:t>
      </w:r>
      <w:proofErr w:type="spellEnd"/>
      <w:r w:rsidR="00B02386" w:rsidRPr="00A81C0C">
        <w:rPr>
          <w:lang w:val="en-GB" w:eastAsia="nl-NL"/>
        </w:rPr>
        <w:t xml:space="preserve"> </w:t>
      </w:r>
      <w:proofErr w:type="spellStart"/>
      <w:r w:rsidR="00B02386" w:rsidRPr="00A81C0C">
        <w:rPr>
          <w:lang w:val="en-GB" w:eastAsia="nl-NL"/>
        </w:rPr>
        <w:t>Mavrić</w:t>
      </w:r>
      <w:proofErr w:type="spellEnd"/>
      <w:r w:rsidR="00B02386" w:rsidRPr="00A81C0C">
        <w:rPr>
          <w:lang w:val="en-GB" w:eastAsia="nl-NL"/>
        </w:rPr>
        <w:t xml:space="preserve">. </w:t>
      </w:r>
    </w:p>
    <w:p w:rsidR="003A521C" w:rsidRPr="00A81C0C" w:rsidRDefault="003A521C" w:rsidP="003A521C">
      <w:pPr>
        <w:jc w:val="both"/>
        <w:rPr>
          <w:lang w:eastAsia="nl-NL"/>
        </w:rPr>
      </w:pPr>
    </w:p>
    <w:p w:rsidR="00B02386" w:rsidRPr="00A81C0C" w:rsidRDefault="00B02386" w:rsidP="00B02386">
      <w:pPr>
        <w:pStyle w:val="ListParagraph"/>
        <w:numPr>
          <w:ilvl w:val="0"/>
          <w:numId w:val="10"/>
        </w:numPr>
        <w:suppressAutoHyphens w:val="0"/>
        <w:jc w:val="both"/>
        <w:rPr>
          <w:lang w:eastAsia="nl-NL"/>
        </w:rPr>
      </w:pPr>
      <w:r w:rsidRPr="00A81C0C">
        <w:rPr>
          <w:lang w:eastAsia="nl-NL"/>
        </w:rPr>
        <w:t>The file further contains OMPF</w:t>
      </w:r>
      <w:r w:rsidR="00927FFE" w:rsidRPr="00A81C0C">
        <w:rPr>
          <w:lang w:eastAsia="nl-NL"/>
        </w:rPr>
        <w:t xml:space="preserve"> documents recording two </w:t>
      </w:r>
      <w:r w:rsidRPr="00A81C0C">
        <w:rPr>
          <w:lang w:eastAsia="nl-NL"/>
        </w:rPr>
        <w:t>visits</w:t>
      </w:r>
      <w:r w:rsidR="00927FFE" w:rsidRPr="00A81C0C">
        <w:rPr>
          <w:lang w:eastAsia="nl-NL"/>
        </w:rPr>
        <w:t xml:space="preserve"> to the family,</w:t>
      </w:r>
      <w:r w:rsidRPr="00A81C0C">
        <w:rPr>
          <w:lang w:eastAsia="nl-NL"/>
        </w:rPr>
        <w:t xml:space="preserve"> which were conducted on 17 November 2003 and </w:t>
      </w:r>
      <w:r w:rsidR="00883E76" w:rsidRPr="00A81C0C">
        <w:rPr>
          <w:lang w:eastAsia="nl-NL"/>
        </w:rPr>
        <w:t>on 30 November 2003 by the OMPF</w:t>
      </w:r>
      <w:r w:rsidRPr="00A81C0C">
        <w:rPr>
          <w:lang w:eastAsia="nl-NL"/>
        </w:rPr>
        <w:t xml:space="preserve"> to inform </w:t>
      </w:r>
      <w:r w:rsidRPr="00A81C0C">
        <w:rPr>
          <w:lang w:val="en-GB" w:eastAsia="nl-NL"/>
        </w:rPr>
        <w:t xml:space="preserve">Mr </w:t>
      </w:r>
      <w:proofErr w:type="spellStart"/>
      <w:r w:rsidRPr="00A81C0C">
        <w:rPr>
          <w:lang w:val="en-GB" w:eastAsia="nl-NL"/>
        </w:rPr>
        <w:t>Mlađan</w:t>
      </w:r>
      <w:proofErr w:type="spellEnd"/>
      <w:r w:rsidRPr="00A81C0C">
        <w:rPr>
          <w:lang w:val="en-GB" w:eastAsia="nl-NL"/>
        </w:rPr>
        <w:t xml:space="preserve"> </w:t>
      </w:r>
      <w:proofErr w:type="spellStart"/>
      <w:r w:rsidRPr="00A81C0C">
        <w:rPr>
          <w:lang w:val="en-GB" w:eastAsia="nl-NL"/>
        </w:rPr>
        <w:t>Mavrić</w:t>
      </w:r>
      <w:r w:rsidR="00883E76" w:rsidRPr="00A81C0C">
        <w:rPr>
          <w:lang w:val="en-GB" w:eastAsia="nl-NL"/>
        </w:rPr>
        <w:t>’s</w:t>
      </w:r>
      <w:proofErr w:type="spellEnd"/>
      <w:r w:rsidR="00883E76" w:rsidRPr="00A81C0C">
        <w:rPr>
          <w:lang w:val="en-GB" w:eastAsia="nl-NL"/>
        </w:rPr>
        <w:t xml:space="preserve"> family</w:t>
      </w:r>
      <w:r w:rsidR="003A521C" w:rsidRPr="00A81C0C">
        <w:rPr>
          <w:lang w:val="en-GB" w:eastAsia="nl-NL"/>
        </w:rPr>
        <w:t xml:space="preserve"> about the identification of his</w:t>
      </w:r>
      <w:r w:rsidR="00883E76" w:rsidRPr="00A81C0C">
        <w:rPr>
          <w:lang w:val="en-GB" w:eastAsia="nl-NL"/>
        </w:rPr>
        <w:t xml:space="preserve"> mortal remains and the forthcoming handover procedure</w:t>
      </w:r>
      <w:r w:rsidRPr="00A81C0C">
        <w:rPr>
          <w:lang w:val="en-GB" w:eastAsia="nl-NL"/>
        </w:rPr>
        <w:t xml:space="preserve">. </w:t>
      </w:r>
    </w:p>
    <w:p w:rsidR="00857011" w:rsidRPr="00A81C0C" w:rsidRDefault="00857011" w:rsidP="00857011">
      <w:pPr>
        <w:pStyle w:val="ListParagraph"/>
        <w:rPr>
          <w:lang w:eastAsia="nl-NL"/>
        </w:rPr>
      </w:pPr>
    </w:p>
    <w:p w:rsidR="00F81E98" w:rsidRPr="00A81C0C" w:rsidRDefault="00857011" w:rsidP="00857011">
      <w:pPr>
        <w:pStyle w:val="ListParagraph"/>
        <w:numPr>
          <w:ilvl w:val="0"/>
          <w:numId w:val="10"/>
        </w:numPr>
        <w:suppressAutoHyphens w:val="0"/>
        <w:jc w:val="both"/>
        <w:rPr>
          <w:lang w:eastAsia="nl-NL"/>
        </w:rPr>
      </w:pPr>
      <w:r w:rsidRPr="00A81C0C">
        <w:rPr>
          <w:lang w:eastAsia="nl-NL"/>
        </w:rPr>
        <w:t xml:space="preserve">On 30 November 2003, the mortal remains of </w:t>
      </w:r>
      <w:r w:rsidRPr="00A81C0C">
        <w:rPr>
          <w:lang w:val="en-GB" w:eastAsia="nl-NL"/>
        </w:rPr>
        <w:t xml:space="preserve">Mr </w:t>
      </w:r>
      <w:proofErr w:type="spellStart"/>
      <w:r w:rsidRPr="00A81C0C">
        <w:rPr>
          <w:lang w:val="en-GB" w:eastAsia="nl-NL"/>
        </w:rPr>
        <w:t>Mlađan</w:t>
      </w:r>
      <w:proofErr w:type="spellEnd"/>
      <w:r w:rsidRPr="00A81C0C">
        <w:rPr>
          <w:lang w:val="en-GB" w:eastAsia="nl-NL"/>
        </w:rPr>
        <w:t xml:space="preserve"> </w:t>
      </w:r>
      <w:proofErr w:type="spellStart"/>
      <w:r w:rsidRPr="00A81C0C">
        <w:rPr>
          <w:lang w:val="en-GB" w:eastAsia="nl-NL"/>
        </w:rPr>
        <w:t>Mavrić</w:t>
      </w:r>
      <w:proofErr w:type="spellEnd"/>
      <w:r w:rsidRPr="00A81C0C">
        <w:rPr>
          <w:lang w:val="en-GB" w:eastAsia="nl-NL"/>
        </w:rPr>
        <w:t>, along with the OMPF Death Certificate, Identification Certificate and Confirmation of Identity Certificate</w:t>
      </w:r>
      <w:r w:rsidR="00927FFE" w:rsidRPr="00A81C0C">
        <w:rPr>
          <w:lang w:val="en-GB" w:eastAsia="nl-NL"/>
        </w:rPr>
        <w:t>,</w:t>
      </w:r>
      <w:r w:rsidRPr="00A81C0C">
        <w:rPr>
          <w:lang w:val="en-GB" w:eastAsia="nl-NL"/>
        </w:rPr>
        <w:t xml:space="preserve"> were handed over to his family. </w:t>
      </w:r>
      <w:r w:rsidR="00F81E98" w:rsidRPr="00A81C0C">
        <w:rPr>
          <w:lang w:eastAsia="nl-NL"/>
        </w:rPr>
        <w:t xml:space="preserve">The </w:t>
      </w:r>
      <w:r w:rsidR="0067630B" w:rsidRPr="00A81C0C">
        <w:rPr>
          <w:lang w:eastAsia="nl-NL"/>
        </w:rPr>
        <w:t xml:space="preserve">remaining documents in the OMPF file </w:t>
      </w:r>
      <w:r w:rsidR="00282B40" w:rsidRPr="00A81C0C">
        <w:rPr>
          <w:lang w:eastAsia="nl-NL"/>
        </w:rPr>
        <w:t xml:space="preserve">relate to the arrangements made by the UNMIK MPU and the UNMIK OMPF, upon request of the Serbian authorities, to provide an escort for the family members of Mr </w:t>
      </w:r>
      <w:proofErr w:type="spellStart"/>
      <w:r w:rsidR="00282B40" w:rsidRPr="00A81C0C">
        <w:rPr>
          <w:lang w:val="en-GB"/>
        </w:rPr>
        <w:t>Mlađan</w:t>
      </w:r>
      <w:proofErr w:type="spellEnd"/>
      <w:r w:rsidR="00282B40" w:rsidRPr="00A81C0C">
        <w:rPr>
          <w:lang w:val="en-GB"/>
        </w:rPr>
        <w:t xml:space="preserve"> </w:t>
      </w:r>
      <w:proofErr w:type="spellStart"/>
      <w:r w:rsidR="00282B40" w:rsidRPr="00A81C0C">
        <w:rPr>
          <w:lang w:val="en-GB"/>
        </w:rPr>
        <w:t>Mavrić</w:t>
      </w:r>
      <w:proofErr w:type="spellEnd"/>
      <w:r w:rsidR="0067630B" w:rsidRPr="00A81C0C">
        <w:rPr>
          <w:lang w:val="en-GB"/>
        </w:rPr>
        <w:t xml:space="preserve"> </w:t>
      </w:r>
      <w:r w:rsidR="0067630B" w:rsidRPr="00A81C0C">
        <w:rPr>
          <w:lang w:eastAsia="nl-NL"/>
        </w:rPr>
        <w:t xml:space="preserve">willing </w:t>
      </w:r>
      <w:r w:rsidR="00883E76" w:rsidRPr="00A81C0C">
        <w:rPr>
          <w:lang w:eastAsia="nl-NL"/>
        </w:rPr>
        <w:t>to attend his</w:t>
      </w:r>
      <w:r w:rsidR="0067630B" w:rsidRPr="00A81C0C">
        <w:rPr>
          <w:lang w:val="en-GB"/>
        </w:rPr>
        <w:t xml:space="preserve"> funeral</w:t>
      </w:r>
      <w:r w:rsidR="00282B40" w:rsidRPr="00A81C0C">
        <w:rPr>
          <w:lang w:val="en-GB"/>
        </w:rPr>
        <w:t xml:space="preserve"> on 30 November 2003 in</w:t>
      </w:r>
      <w:r w:rsidR="0067630B" w:rsidRPr="00A81C0C">
        <w:rPr>
          <w:lang w:val="en-GB"/>
        </w:rPr>
        <w:t xml:space="preserve"> the Orthodox cemetery of</w:t>
      </w:r>
      <w:r w:rsidR="00282B40" w:rsidRPr="00A81C0C">
        <w:rPr>
          <w:lang w:val="en-GB"/>
        </w:rPr>
        <w:t xml:space="preserve"> </w:t>
      </w:r>
      <w:proofErr w:type="spellStart"/>
      <w:r w:rsidR="00282B40" w:rsidRPr="00A81C0C">
        <w:rPr>
          <w:color w:val="000000"/>
          <w:lang w:val="en-GB" w:eastAsia="nl-NL"/>
        </w:rPr>
        <w:t>Hoçë</w:t>
      </w:r>
      <w:proofErr w:type="spellEnd"/>
      <w:r w:rsidR="00282B40" w:rsidRPr="00A81C0C">
        <w:rPr>
          <w:color w:val="000000"/>
          <w:lang w:val="en-GB" w:eastAsia="nl-NL"/>
        </w:rPr>
        <w:t xml:space="preserve"> e </w:t>
      </w:r>
      <w:proofErr w:type="spellStart"/>
      <w:r w:rsidR="00282B40" w:rsidRPr="00A81C0C">
        <w:rPr>
          <w:color w:val="000000"/>
          <w:lang w:val="en-GB" w:eastAsia="nl-NL"/>
        </w:rPr>
        <w:t>Madhe</w:t>
      </w:r>
      <w:proofErr w:type="spellEnd"/>
      <w:r w:rsidR="00282B40" w:rsidRPr="00A81C0C">
        <w:rPr>
          <w:color w:val="000000"/>
          <w:lang w:val="en-GB" w:eastAsia="nl-NL"/>
        </w:rPr>
        <w:t>/</w:t>
      </w:r>
      <w:proofErr w:type="spellStart"/>
      <w:r w:rsidR="00282B40" w:rsidRPr="00A81C0C">
        <w:rPr>
          <w:color w:val="000000"/>
          <w:lang w:val="en-GB" w:eastAsia="nl-NL"/>
        </w:rPr>
        <w:t>Velika</w:t>
      </w:r>
      <w:proofErr w:type="spellEnd"/>
      <w:r w:rsidR="00282B40" w:rsidRPr="00A81C0C">
        <w:rPr>
          <w:color w:val="000000"/>
          <w:lang w:val="en-GB" w:eastAsia="nl-NL"/>
        </w:rPr>
        <w:t xml:space="preserve"> </w:t>
      </w:r>
      <w:proofErr w:type="spellStart"/>
      <w:r w:rsidR="00282B40" w:rsidRPr="00A81C0C">
        <w:rPr>
          <w:color w:val="000000"/>
          <w:lang w:val="en-GB" w:eastAsia="nl-NL"/>
        </w:rPr>
        <w:t>Hoča</w:t>
      </w:r>
      <w:proofErr w:type="spellEnd"/>
      <w:r w:rsidR="00282B40" w:rsidRPr="00A81C0C">
        <w:rPr>
          <w:color w:val="000000"/>
          <w:lang w:val="en-GB" w:eastAsia="nl-NL"/>
        </w:rPr>
        <w:t xml:space="preserve">. </w:t>
      </w:r>
    </w:p>
    <w:p w:rsidR="00C808C9" w:rsidRPr="00A81C0C" w:rsidRDefault="00C808C9" w:rsidP="00C808C9">
      <w:pPr>
        <w:pStyle w:val="ListParagraph"/>
        <w:rPr>
          <w:lang w:eastAsia="nl-NL"/>
        </w:rPr>
      </w:pPr>
    </w:p>
    <w:p w:rsidR="00B202AE" w:rsidRPr="00D87FFC" w:rsidRDefault="00857011" w:rsidP="00D87FFC">
      <w:pPr>
        <w:pStyle w:val="ListParagraph"/>
        <w:numPr>
          <w:ilvl w:val="0"/>
          <w:numId w:val="10"/>
        </w:numPr>
        <w:suppressAutoHyphens w:val="0"/>
        <w:jc w:val="both"/>
        <w:rPr>
          <w:lang w:eastAsia="nl-NL"/>
        </w:rPr>
      </w:pPr>
      <w:r w:rsidRPr="00A81C0C">
        <w:rPr>
          <w:lang w:eastAsia="nl-NL"/>
        </w:rPr>
        <w:t>The</w:t>
      </w:r>
      <w:r w:rsidR="00C808C9" w:rsidRPr="00A81C0C">
        <w:rPr>
          <w:lang w:eastAsia="nl-NL"/>
        </w:rPr>
        <w:t xml:space="preserve"> last document in the file is a document of the UNMIK Police MPU concerning Mr </w:t>
      </w:r>
      <w:proofErr w:type="spellStart"/>
      <w:r w:rsidR="00C808C9" w:rsidRPr="00A81C0C">
        <w:rPr>
          <w:lang w:val="en-GB"/>
        </w:rPr>
        <w:t>Mlađan</w:t>
      </w:r>
      <w:proofErr w:type="spellEnd"/>
      <w:r w:rsidR="00C808C9" w:rsidRPr="00A81C0C">
        <w:rPr>
          <w:lang w:val="en-GB"/>
        </w:rPr>
        <w:t xml:space="preserve"> </w:t>
      </w:r>
      <w:proofErr w:type="spellStart"/>
      <w:r w:rsidR="00C808C9" w:rsidRPr="00A81C0C">
        <w:rPr>
          <w:lang w:val="en-GB"/>
        </w:rPr>
        <w:t>Mavrić</w:t>
      </w:r>
      <w:proofErr w:type="spellEnd"/>
      <w:r w:rsidR="00C808C9" w:rsidRPr="00A81C0C">
        <w:rPr>
          <w:lang w:val="en-GB"/>
        </w:rPr>
        <w:t xml:space="preserve">, MPU case file no. 2001-001222, dated 2 January 2004. A handwritten note on the document states “4/01/04 No matches found in the KPIS [Kosovo Police Information System] Database”. The document also states “Closed Case”. </w:t>
      </w:r>
      <w:bookmarkEnd w:id="11"/>
      <w:bookmarkEnd w:id="12"/>
      <w:bookmarkEnd w:id="13"/>
      <w:bookmarkEnd w:id="14"/>
    </w:p>
    <w:p w:rsidR="00D87FFC" w:rsidRDefault="00D87FFC" w:rsidP="00D87FFC">
      <w:pPr>
        <w:jc w:val="both"/>
        <w:rPr>
          <w:lang w:eastAsia="nl-NL"/>
        </w:rPr>
      </w:pPr>
    </w:p>
    <w:p w:rsidR="006A620F" w:rsidRPr="00D87FFC" w:rsidRDefault="006A620F" w:rsidP="00D87FFC">
      <w:pPr>
        <w:jc w:val="both"/>
        <w:rPr>
          <w:lang w:eastAsia="nl-NL"/>
        </w:rPr>
      </w:pPr>
    </w:p>
    <w:p w:rsidR="00124C66" w:rsidRPr="005D53CE" w:rsidRDefault="00124C66" w:rsidP="00B202AE">
      <w:pPr>
        <w:numPr>
          <w:ilvl w:val="0"/>
          <w:numId w:val="1"/>
        </w:numPr>
        <w:suppressAutoHyphens/>
        <w:autoSpaceDE w:val="0"/>
        <w:ind w:left="360" w:hanging="360"/>
        <w:jc w:val="both"/>
        <w:rPr>
          <w:b/>
          <w:bCs/>
          <w:lang w:val="en-GB"/>
        </w:rPr>
      </w:pPr>
      <w:r w:rsidRPr="005D53CE">
        <w:rPr>
          <w:b/>
          <w:bCs/>
          <w:lang w:val="en-GB"/>
        </w:rPr>
        <w:t>THE COMPLAINT</w:t>
      </w:r>
    </w:p>
    <w:p w:rsidR="00124C66" w:rsidRPr="005D53CE" w:rsidRDefault="00124C66" w:rsidP="00124C66">
      <w:pPr>
        <w:rPr>
          <w:lang w:val="en-GB"/>
        </w:rPr>
      </w:pPr>
    </w:p>
    <w:p w:rsidR="00124C66" w:rsidRPr="00A81C0C" w:rsidRDefault="00F12F42" w:rsidP="00124C66">
      <w:pPr>
        <w:pStyle w:val="ListParagraph"/>
        <w:numPr>
          <w:ilvl w:val="0"/>
          <w:numId w:val="12"/>
        </w:numPr>
        <w:suppressAutoHyphens w:val="0"/>
        <w:jc w:val="both"/>
        <w:rPr>
          <w:lang w:eastAsia="nl-NL"/>
        </w:rPr>
      </w:pPr>
      <w:r w:rsidRPr="00A81C0C">
        <w:rPr>
          <w:lang w:val="en-GB"/>
        </w:rPr>
        <w:t>The complainant</w:t>
      </w:r>
      <w:r w:rsidR="007A6FCD" w:rsidRPr="00A81C0C">
        <w:rPr>
          <w:lang w:val="en-GB"/>
        </w:rPr>
        <w:t xml:space="preserve"> complain</w:t>
      </w:r>
      <w:r w:rsidR="00C45577" w:rsidRPr="00A81C0C">
        <w:rPr>
          <w:lang w:val="en-GB"/>
        </w:rPr>
        <w:t>s</w:t>
      </w:r>
      <w:r w:rsidRPr="00A81C0C">
        <w:rPr>
          <w:lang w:val="en-GB"/>
        </w:rPr>
        <w:t xml:space="preserve"> about UNMIK’s alleged failure to properly investigate the </w:t>
      </w:r>
      <w:r w:rsidR="00124C66" w:rsidRPr="00A81C0C">
        <w:rPr>
          <w:lang w:val="en-GB"/>
        </w:rPr>
        <w:t xml:space="preserve">abduction and </w:t>
      </w:r>
      <w:r w:rsidR="00EA506C" w:rsidRPr="00A81C0C">
        <w:rPr>
          <w:lang w:val="en-GB"/>
        </w:rPr>
        <w:t>killing o</w:t>
      </w:r>
      <w:r w:rsidRPr="00A81C0C">
        <w:rPr>
          <w:lang w:val="en-GB"/>
        </w:rPr>
        <w:t xml:space="preserve">f </w:t>
      </w:r>
      <w:r w:rsidR="00124C66" w:rsidRPr="00A81C0C">
        <w:rPr>
          <w:lang w:val="en-GB"/>
        </w:rPr>
        <w:t xml:space="preserve">Mr </w:t>
      </w:r>
      <w:proofErr w:type="spellStart"/>
      <w:r w:rsidR="00A57E24" w:rsidRPr="00A81C0C">
        <w:rPr>
          <w:lang w:val="en-GB"/>
        </w:rPr>
        <w:t>Mlađan</w:t>
      </w:r>
      <w:proofErr w:type="spellEnd"/>
      <w:r w:rsidR="00A57E24" w:rsidRPr="00A81C0C">
        <w:rPr>
          <w:lang w:val="en-GB"/>
        </w:rPr>
        <w:t xml:space="preserve"> </w:t>
      </w:r>
      <w:proofErr w:type="spellStart"/>
      <w:r w:rsidR="00A57E24" w:rsidRPr="00A81C0C">
        <w:rPr>
          <w:lang w:val="en-GB"/>
        </w:rPr>
        <w:t>Mavrić</w:t>
      </w:r>
      <w:proofErr w:type="spellEnd"/>
      <w:r w:rsidR="00351024" w:rsidRPr="00A81C0C">
        <w:rPr>
          <w:lang w:val="en-GB"/>
        </w:rPr>
        <w:t>.</w:t>
      </w:r>
      <w:r w:rsidRPr="00A81C0C">
        <w:rPr>
          <w:lang w:val="en-GB"/>
        </w:rPr>
        <w:t xml:space="preserve"> In this regard</w:t>
      </w:r>
      <w:r w:rsidR="008637CF" w:rsidRPr="00A81C0C">
        <w:rPr>
          <w:lang w:val="en-GB"/>
        </w:rPr>
        <w:t>,</w:t>
      </w:r>
      <w:r w:rsidRPr="00A81C0C">
        <w:rPr>
          <w:lang w:val="en-GB"/>
        </w:rPr>
        <w:t xml:space="preserve"> the Panel deems that </w:t>
      </w:r>
      <w:r w:rsidR="006F35D0" w:rsidRPr="00A81C0C">
        <w:rPr>
          <w:lang w:val="en-GB"/>
        </w:rPr>
        <w:t>the complainant</w:t>
      </w:r>
      <w:r w:rsidRPr="00A81C0C">
        <w:rPr>
          <w:lang w:val="en-GB"/>
        </w:rPr>
        <w:t xml:space="preserve"> invoke</w:t>
      </w:r>
      <w:r w:rsidR="0080248B" w:rsidRPr="00A81C0C">
        <w:rPr>
          <w:lang w:val="en-GB"/>
        </w:rPr>
        <w:t>s</w:t>
      </w:r>
      <w:r w:rsidRPr="00A81C0C">
        <w:rPr>
          <w:lang w:val="en-GB"/>
        </w:rPr>
        <w:t xml:space="preserve"> a violation of the procedural limb of Article 2 of the European Convention on Human Rights (ECHR).</w:t>
      </w:r>
    </w:p>
    <w:p w:rsidR="00124C66" w:rsidRDefault="00124C66" w:rsidP="00124C66">
      <w:pPr>
        <w:autoSpaceDE w:val="0"/>
        <w:jc w:val="both"/>
        <w:rPr>
          <w:b/>
          <w:bCs/>
          <w:lang w:val="en-GB"/>
        </w:rPr>
      </w:pPr>
    </w:p>
    <w:p w:rsidR="006A620F" w:rsidRPr="001F7985" w:rsidRDefault="006A620F" w:rsidP="00124C66">
      <w:pPr>
        <w:autoSpaceDE w:val="0"/>
        <w:jc w:val="both"/>
        <w:rPr>
          <w:b/>
          <w:bCs/>
          <w:lang w:val="en-GB"/>
        </w:rPr>
      </w:pPr>
    </w:p>
    <w:p w:rsidR="00124C66" w:rsidRPr="001F7985" w:rsidRDefault="00124C66" w:rsidP="00124C66">
      <w:pPr>
        <w:numPr>
          <w:ilvl w:val="0"/>
          <w:numId w:val="1"/>
        </w:numPr>
        <w:suppressAutoHyphens/>
        <w:autoSpaceDE w:val="0"/>
        <w:ind w:left="360" w:hanging="360"/>
        <w:jc w:val="both"/>
        <w:rPr>
          <w:b/>
          <w:bCs/>
          <w:lang w:val="en-GB"/>
        </w:rPr>
      </w:pPr>
      <w:r w:rsidRPr="001F7985">
        <w:rPr>
          <w:b/>
          <w:bCs/>
          <w:lang w:val="en-GB"/>
        </w:rPr>
        <w:t>THE LAW</w:t>
      </w:r>
    </w:p>
    <w:p w:rsidR="00124C66" w:rsidRPr="001F7985" w:rsidRDefault="00124C66" w:rsidP="00124C66">
      <w:pPr>
        <w:suppressAutoHyphens/>
        <w:autoSpaceDE w:val="0"/>
        <w:jc w:val="both"/>
        <w:rPr>
          <w:bCs/>
          <w:lang w:val="en-GB"/>
        </w:rPr>
      </w:pPr>
    </w:p>
    <w:p w:rsidR="00124C66" w:rsidRPr="001F7985" w:rsidRDefault="00124C66" w:rsidP="00124C66">
      <w:pPr>
        <w:pStyle w:val="Default"/>
        <w:numPr>
          <w:ilvl w:val="0"/>
          <w:numId w:val="4"/>
        </w:numPr>
        <w:jc w:val="both"/>
        <w:rPr>
          <w:b/>
          <w:color w:val="auto"/>
          <w:lang w:val="en-GB"/>
        </w:rPr>
      </w:pPr>
      <w:r w:rsidRPr="001F7985">
        <w:rPr>
          <w:b/>
          <w:color w:val="auto"/>
          <w:lang w:val="en-GB"/>
        </w:rPr>
        <w:t>Alleged violation of the procedural obligation under</w:t>
      </w:r>
      <w:r w:rsidRPr="001F7985">
        <w:rPr>
          <w:b/>
          <w:i/>
          <w:color w:val="auto"/>
          <w:lang w:val="en-GB"/>
        </w:rPr>
        <w:t xml:space="preserve"> </w:t>
      </w:r>
      <w:r w:rsidRPr="001F7985">
        <w:rPr>
          <w:b/>
          <w:color w:val="auto"/>
          <w:lang w:val="en-GB"/>
        </w:rPr>
        <w:t xml:space="preserve">Article 2 of the ECHR </w:t>
      </w:r>
    </w:p>
    <w:p w:rsidR="00124C66" w:rsidRPr="001F7985" w:rsidRDefault="00124C66" w:rsidP="00124C66">
      <w:pPr>
        <w:tabs>
          <w:tab w:val="left" w:pos="630"/>
          <w:tab w:val="left" w:pos="2790"/>
        </w:tabs>
        <w:suppressAutoHyphens/>
        <w:autoSpaceDE w:val="0"/>
        <w:jc w:val="both"/>
        <w:rPr>
          <w:bCs/>
          <w:lang w:val="en-GB"/>
        </w:rPr>
      </w:pPr>
    </w:p>
    <w:p w:rsidR="00124C66" w:rsidRPr="00124C66" w:rsidRDefault="00124C66" w:rsidP="00124C66">
      <w:pPr>
        <w:pStyle w:val="ListParagraph"/>
        <w:numPr>
          <w:ilvl w:val="1"/>
          <w:numId w:val="1"/>
        </w:numPr>
        <w:tabs>
          <w:tab w:val="clear" w:pos="360"/>
          <w:tab w:val="left" w:pos="357"/>
        </w:tabs>
        <w:autoSpaceDE w:val="0"/>
        <w:contextualSpacing/>
        <w:jc w:val="both"/>
        <w:rPr>
          <w:b/>
          <w:bCs/>
          <w:lang w:val="en-GB"/>
        </w:rPr>
      </w:pPr>
      <w:r w:rsidRPr="00124C66">
        <w:rPr>
          <w:b/>
          <w:bCs/>
          <w:lang w:val="en-GB"/>
        </w:rPr>
        <w:t>The scope of the Panel’s review</w:t>
      </w:r>
    </w:p>
    <w:p w:rsidR="00124C66" w:rsidRPr="00124C66" w:rsidRDefault="00124C66" w:rsidP="00124C66">
      <w:pPr>
        <w:pStyle w:val="ListParagraph"/>
        <w:suppressAutoHyphens w:val="0"/>
        <w:ind w:left="360"/>
        <w:jc w:val="both"/>
        <w:rPr>
          <w:lang w:eastAsia="nl-NL"/>
        </w:rPr>
      </w:pPr>
    </w:p>
    <w:p w:rsidR="00124C66" w:rsidRPr="00124C66" w:rsidRDefault="001D2C42" w:rsidP="00124C66">
      <w:pPr>
        <w:pStyle w:val="ListParagraph"/>
        <w:numPr>
          <w:ilvl w:val="0"/>
          <w:numId w:val="12"/>
        </w:numPr>
        <w:suppressAutoHyphens w:val="0"/>
        <w:jc w:val="both"/>
        <w:rPr>
          <w:lang w:eastAsia="nl-NL"/>
        </w:rPr>
      </w:pPr>
      <w:r w:rsidRPr="00124C66">
        <w:rPr>
          <w:bCs/>
          <w:lang w:val="en-GB"/>
        </w:rPr>
        <w:t>Before turning to the examination of the merits of the complaint, the Panel needs to clarify the scope of its review.</w:t>
      </w:r>
      <w:bookmarkStart w:id="15" w:name="_Ref366160496"/>
    </w:p>
    <w:p w:rsidR="00124C66" w:rsidRPr="00124C66" w:rsidRDefault="00124C66" w:rsidP="00124C66">
      <w:pPr>
        <w:pStyle w:val="ListParagraph"/>
        <w:suppressAutoHyphens w:val="0"/>
        <w:ind w:left="360"/>
        <w:jc w:val="both"/>
        <w:rPr>
          <w:lang w:eastAsia="nl-NL"/>
        </w:rPr>
      </w:pPr>
    </w:p>
    <w:p w:rsidR="00124C66" w:rsidRPr="00124C66" w:rsidRDefault="007262D2" w:rsidP="00124C66">
      <w:pPr>
        <w:pStyle w:val="ListParagraph"/>
        <w:numPr>
          <w:ilvl w:val="0"/>
          <w:numId w:val="12"/>
        </w:numPr>
        <w:suppressAutoHyphens w:val="0"/>
        <w:jc w:val="both"/>
        <w:rPr>
          <w:lang w:eastAsia="nl-NL"/>
        </w:rPr>
      </w:pPr>
      <w:r w:rsidRPr="00124C66">
        <w:rPr>
          <w:lang w:val="en-GB"/>
        </w:rPr>
        <w:t xml:space="preserve">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w:t>
      </w:r>
      <w:r w:rsidRPr="00124C66">
        <w:rPr>
          <w:lang w:val="en-GB"/>
        </w:rPr>
        <w:lastRenderedPageBreak/>
        <w:t>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15"/>
      <w:r w:rsidRPr="00124C66">
        <w:rPr>
          <w:lang w:val="en-GB"/>
        </w:rPr>
        <w:t xml:space="preserve"> </w:t>
      </w:r>
      <w:bookmarkStart w:id="16" w:name="_Ref347321462"/>
      <w:bookmarkStart w:id="17" w:name="_Ref317418022"/>
    </w:p>
    <w:p w:rsidR="00124C66" w:rsidRPr="00124C66" w:rsidRDefault="00124C66" w:rsidP="00124C66">
      <w:pPr>
        <w:pStyle w:val="ListParagraph"/>
        <w:suppressAutoHyphens w:val="0"/>
        <w:ind w:left="360"/>
        <w:jc w:val="both"/>
        <w:rPr>
          <w:lang w:eastAsia="nl-NL"/>
        </w:rPr>
      </w:pPr>
    </w:p>
    <w:p w:rsidR="00124C66" w:rsidRPr="00124C66" w:rsidRDefault="007262D2" w:rsidP="00124C66">
      <w:pPr>
        <w:pStyle w:val="ListParagraph"/>
        <w:numPr>
          <w:ilvl w:val="0"/>
          <w:numId w:val="12"/>
        </w:numPr>
        <w:suppressAutoHyphens w:val="0"/>
        <w:jc w:val="both"/>
        <w:rPr>
          <w:lang w:eastAsia="nl-NL"/>
        </w:rPr>
      </w:pPr>
      <w:r w:rsidRPr="00124C66">
        <w:rPr>
          <w:lang w:val="en-GB" w:eastAsia="nl-BE"/>
        </w:rPr>
        <w:t xml:space="preserve">The </w:t>
      </w:r>
      <w:r w:rsidRPr="00124C66">
        <w:rPr>
          <w:bCs/>
          <w:lang w:val="en-GB"/>
        </w:rPr>
        <w:t>Panel</w:t>
      </w:r>
      <w:r w:rsidRPr="00124C66">
        <w:rPr>
          <w:lang w:val="en-GB" w:eastAsia="nl-BE"/>
        </w:rPr>
        <w:t xml:space="preserve"> notes that with the adoption of the UNMIK Regulation No. 1999/1 on 25 July 1999 UNMIK undertook an obligation to observe internationally recognised human </w:t>
      </w:r>
      <w:r w:rsidRPr="00124C66">
        <w:rPr>
          <w:bCs/>
          <w:lang w:val="en-GB"/>
        </w:rPr>
        <w:t>rights</w:t>
      </w:r>
      <w:r w:rsidRPr="00124C66">
        <w:rPr>
          <w:lang w:val="en-GB" w:eastAsia="nl-BE"/>
        </w:rPr>
        <w:t xml:space="preserve"> standards in exercising its functions. This undertaking was detailed  in UNMIK Regulation No. 1999/24 of 12 December 1999, by which UNMIK assumed obligations under the following human rights instruments</w:t>
      </w:r>
      <w:r w:rsidRPr="00124C66">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124C66">
          <w:rPr>
            <w:rStyle w:val="Hyperlink"/>
            <w:color w:val="auto"/>
            <w:u w:val="none"/>
            <w:lang w:val="en-GB"/>
          </w:rPr>
          <w:t>the Convention Against Torture and Other Cruel, Inhuman or Degrading Treatment or Punishment</w:t>
        </w:r>
      </w:hyperlink>
      <w:r w:rsidRPr="00124C66">
        <w:rPr>
          <w:lang w:val="en-GB"/>
        </w:rPr>
        <w:t>, the Convention on the Rights of the Child.</w:t>
      </w:r>
      <w:bookmarkStart w:id="18" w:name="_Ref317493050"/>
      <w:bookmarkStart w:id="19" w:name="_Ref347495661"/>
      <w:bookmarkEnd w:id="16"/>
    </w:p>
    <w:p w:rsidR="00124C66" w:rsidRPr="00124C66" w:rsidRDefault="00124C66" w:rsidP="00124C66">
      <w:pPr>
        <w:pStyle w:val="ListParagraph"/>
        <w:rPr>
          <w:rFonts w:cs="CAGLHH+TimesNewRoman"/>
          <w:lang w:val="en-GB"/>
        </w:rPr>
      </w:pPr>
    </w:p>
    <w:p w:rsidR="00124C66" w:rsidRPr="00124C66" w:rsidRDefault="007262D2" w:rsidP="00124C66">
      <w:pPr>
        <w:pStyle w:val="ListParagraph"/>
        <w:numPr>
          <w:ilvl w:val="0"/>
          <w:numId w:val="12"/>
        </w:numPr>
        <w:suppressAutoHyphens w:val="0"/>
        <w:jc w:val="both"/>
        <w:rPr>
          <w:lang w:eastAsia="nl-NL"/>
        </w:rPr>
      </w:pPr>
      <w:r w:rsidRPr="00124C66">
        <w:rPr>
          <w:rFonts w:cs="CAGLHH+TimesNewRoman"/>
          <w:lang w:val="en-GB"/>
        </w:rPr>
        <w:t xml:space="preserve">The Panel also notes that Section 1.2 of </w:t>
      </w:r>
      <w:r w:rsidRPr="00124C66">
        <w:rPr>
          <w:bCs/>
          <w:lang w:val="en-GB"/>
        </w:rPr>
        <w:t xml:space="preserve">UNMIK Regulation No. 2006/12 of 23 March 2006 on the Establishment of the Human Rights Advisory Panel </w:t>
      </w:r>
      <w:r w:rsidRPr="00124C66">
        <w:rPr>
          <w:rFonts w:cs="CAGLHH+TimesNewRoman"/>
          <w:lang w:val="en-GB"/>
        </w:rPr>
        <w:t xml:space="preserve">provides that the Panel “shall examine complaints from any person or group of individuals claiming to be the victim of a violation by UNMIK of (their) human rights”. It </w:t>
      </w:r>
      <w:r w:rsidRPr="00124C66">
        <w:rPr>
          <w:bCs/>
          <w:lang w:val="en-GB"/>
        </w:rPr>
        <w:t>follows</w:t>
      </w:r>
      <w:r w:rsidRPr="00124C66">
        <w:rPr>
          <w:rFonts w:cs="CAGLHH+TimesNewRoman"/>
          <w:lang w:val="en-GB"/>
        </w:rPr>
        <w:t xml:space="preserve"> that only acts or omissions attributable to UNMIK fall within the jurisdiction </w:t>
      </w:r>
      <w:r w:rsidRPr="00124C66">
        <w:rPr>
          <w:rFonts w:cs="CAGLHH+TimesNewRoman"/>
          <w:i/>
          <w:lang w:val="en-GB"/>
        </w:rPr>
        <w:t>ratione personae</w:t>
      </w:r>
      <w:r w:rsidRPr="00124C66">
        <w:rPr>
          <w:rFonts w:cs="CAGLHH+TimesNewRoman"/>
          <w:lang w:val="en-GB"/>
        </w:rPr>
        <w:t xml:space="preserve"> of the Panel. In this respect, it should be noted, as stated above, that as of </w:t>
      </w:r>
      <w:r w:rsidRPr="00124C66">
        <w:rPr>
          <w:lang w:val="en-GB"/>
        </w:rPr>
        <w:t xml:space="preserve">9 December 2008, UNMIK </w:t>
      </w:r>
      <w:r w:rsidRPr="00124C66">
        <w:rPr>
          <w:bCs/>
          <w:lang w:val="en-GB"/>
        </w:rPr>
        <w:t>no longer exercises executive authority over the Kosovo judiciary and law enforcement machinery. Therefore UNMIK bears no responsibility for any violation of human rights allegedly committed by those bodies. Insofar as the complainant</w:t>
      </w:r>
      <w:r w:rsidR="0097400B" w:rsidRPr="00124C66">
        <w:rPr>
          <w:bCs/>
          <w:lang w:val="en-GB"/>
        </w:rPr>
        <w:t>s</w:t>
      </w:r>
      <w:r w:rsidRPr="00124C66">
        <w:rPr>
          <w:bCs/>
          <w:lang w:val="en-GB"/>
        </w:rPr>
        <w:t xml:space="preserve"> complain about acts that occurred after that date, they fall outside the jurisdiction </w:t>
      </w:r>
      <w:r w:rsidRPr="00124C66">
        <w:rPr>
          <w:bCs/>
          <w:i/>
          <w:lang w:val="en-GB"/>
        </w:rPr>
        <w:t>ratione personae</w:t>
      </w:r>
      <w:r w:rsidRPr="00124C66">
        <w:rPr>
          <w:bCs/>
          <w:lang w:val="en-GB"/>
        </w:rPr>
        <w:t xml:space="preserve"> of the Panel.</w:t>
      </w:r>
      <w:bookmarkEnd w:id="18"/>
      <w:bookmarkEnd w:id="19"/>
    </w:p>
    <w:p w:rsidR="00124C66" w:rsidRPr="00124C66" w:rsidRDefault="00124C66" w:rsidP="00124C66">
      <w:pPr>
        <w:pStyle w:val="ListParagraph"/>
        <w:rPr>
          <w:rFonts w:cs="CAGLHH+TimesNewRoman"/>
          <w:lang w:val="en-GB"/>
        </w:rPr>
      </w:pPr>
    </w:p>
    <w:p w:rsidR="00124C66" w:rsidRPr="00A81C0C" w:rsidRDefault="007262D2" w:rsidP="00124C66">
      <w:pPr>
        <w:pStyle w:val="ListParagraph"/>
        <w:numPr>
          <w:ilvl w:val="0"/>
          <w:numId w:val="12"/>
        </w:numPr>
        <w:suppressAutoHyphens w:val="0"/>
        <w:jc w:val="both"/>
        <w:rPr>
          <w:lang w:eastAsia="nl-NL"/>
        </w:rPr>
      </w:pPr>
      <w:r w:rsidRPr="00124C66">
        <w:rPr>
          <w:rFonts w:cs="CAGLHH+TimesNewRoman"/>
          <w:lang w:val="en-GB"/>
        </w:rPr>
        <w:t xml:space="preserve">Likewise, the Panel emphasises that, as far as its jurisdiction </w:t>
      </w:r>
      <w:r w:rsidRPr="00124C66">
        <w:rPr>
          <w:rFonts w:cs="CAGLHH+TimesNewRoman"/>
          <w:i/>
          <w:lang w:val="en-GB"/>
        </w:rPr>
        <w:t>ratione materiae</w:t>
      </w:r>
      <w:r w:rsidRPr="00124C66">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w:t>
      </w:r>
      <w:r w:rsidRPr="005D53CE">
        <w:rPr>
          <w:rFonts w:cs="CAGLHH+TimesNewRoman"/>
          <w:lang w:val="en-GB"/>
        </w:rPr>
        <w:t xml:space="preserve">rights instruments referred to above (see § </w:t>
      </w:r>
      <w:r w:rsidR="00A12667">
        <w:t>40</w:t>
      </w:r>
      <w:r w:rsidRPr="005D53CE">
        <w:rPr>
          <w:rFonts w:cs="CAGLHH+TimesNewRoman"/>
          <w:lang w:val="en-GB"/>
        </w:rPr>
        <w:t>).</w:t>
      </w:r>
      <w:r w:rsidRPr="005D53C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w:t>
      </w:r>
      <w:r w:rsidRPr="00A81C0C">
        <w:rPr>
          <w:lang w:val="en-GB"/>
        </w:rPr>
        <w:t>obligations flowing from Article 2 of the ECHR.</w:t>
      </w:r>
      <w:bookmarkStart w:id="20" w:name="_Ref346123885"/>
    </w:p>
    <w:p w:rsidR="00124C66" w:rsidRPr="00A81C0C" w:rsidRDefault="00124C66" w:rsidP="00124C66">
      <w:pPr>
        <w:pStyle w:val="ListParagraph"/>
        <w:rPr>
          <w:bCs/>
          <w:lang w:val="en-GB"/>
        </w:rPr>
      </w:pPr>
    </w:p>
    <w:p w:rsidR="00124C66" w:rsidRPr="00A81C0C" w:rsidRDefault="007262D2" w:rsidP="00124C66">
      <w:pPr>
        <w:pStyle w:val="ListParagraph"/>
        <w:numPr>
          <w:ilvl w:val="0"/>
          <w:numId w:val="12"/>
        </w:numPr>
        <w:suppressAutoHyphens w:val="0"/>
        <w:jc w:val="both"/>
        <w:rPr>
          <w:lang w:eastAsia="nl-NL"/>
        </w:rPr>
      </w:pPr>
      <w:r w:rsidRPr="00A81C0C">
        <w:rPr>
          <w:bCs/>
          <w:lang w:val="en-GB"/>
        </w:rPr>
        <w:t>The Panel further notes that Section 2 of UNMIK Regulation No. 2006/12 provides that t</w:t>
      </w:r>
      <w:r w:rsidRPr="00A81C0C">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A81C0C">
        <w:rPr>
          <w:rFonts w:cs="CAGLHH+TimesNewRoman"/>
          <w:i/>
          <w:lang w:val="en-GB"/>
        </w:rPr>
        <w:t>ratione temporis</w:t>
      </w:r>
      <w:r w:rsidRPr="00A81C0C">
        <w:rPr>
          <w:rFonts w:cs="CAGLHH+TimesNewRoman"/>
          <w:lang w:val="en-GB"/>
        </w:rPr>
        <w:t xml:space="preserve"> of the Panel. However, to the extent that such events gave rise to a continuing </w:t>
      </w:r>
      <w:r w:rsidRPr="00A81C0C">
        <w:rPr>
          <w:rFonts w:cs="CAGLHH+TimesNewRoman"/>
          <w:lang w:val="en-GB"/>
        </w:rPr>
        <w:lastRenderedPageBreak/>
        <w:t>situation, the Panel has jurisdiction to examine complaints relating to that situation</w:t>
      </w:r>
      <w:bookmarkEnd w:id="17"/>
      <w:r w:rsidRPr="00A81C0C">
        <w:rPr>
          <w:rFonts w:cs="CAGLHH+TimesNewRoman"/>
          <w:lang w:val="en-GB"/>
        </w:rPr>
        <w:t xml:space="preserve"> (see European Court of Human Rights (ECtHR), Grand Chamber [GC], </w:t>
      </w:r>
      <w:r w:rsidRPr="00A81C0C">
        <w:rPr>
          <w:rFonts w:cs="CAGLHH+TimesNewRoman"/>
          <w:i/>
          <w:lang w:val="en-GB"/>
        </w:rPr>
        <w:t>Varnava and Others v. Turkey</w:t>
      </w:r>
      <w:r w:rsidRPr="00A81C0C">
        <w:rPr>
          <w:rFonts w:cs="CAGLHH+TimesNewRoman"/>
          <w:lang w:val="en-GB"/>
        </w:rPr>
        <w:t xml:space="preserve">, nos. 16064/90 and others, judgment of 18 September 2009, §§ 147-149; ECtHR, </w:t>
      </w:r>
      <w:r w:rsidRPr="00A81C0C">
        <w:rPr>
          <w:rFonts w:cs="CAGLHH+TimesNewRoman"/>
          <w:i/>
          <w:lang w:val="en-GB"/>
        </w:rPr>
        <w:t xml:space="preserve">Cyprus v. Turkey </w:t>
      </w:r>
      <w:r w:rsidRPr="00A81C0C">
        <w:rPr>
          <w:rFonts w:cs="CAGLHH+TimesNewRoman"/>
          <w:lang w:val="en-GB"/>
        </w:rPr>
        <w:t xml:space="preserve">[GC] no. </w:t>
      </w:r>
      <w:r w:rsidRPr="00A81C0C">
        <w:rPr>
          <w:rStyle w:val="s85f22697"/>
          <w:lang w:val="en-GB"/>
        </w:rPr>
        <w:t>25781/94, judgment of 10 May 2001,</w:t>
      </w:r>
      <w:r w:rsidRPr="00A81C0C">
        <w:rPr>
          <w:rFonts w:cs="CAGLHH+TimesNewRoman"/>
          <w:lang w:val="en-GB"/>
        </w:rPr>
        <w:t xml:space="preserve"> § 136, ECHR 2001-IV).</w:t>
      </w:r>
      <w:bookmarkEnd w:id="20"/>
      <w:r w:rsidRPr="00A81C0C">
        <w:rPr>
          <w:rFonts w:cs="CAGLHH+TimesNewRoman"/>
          <w:lang w:val="en-GB"/>
        </w:rPr>
        <w:t xml:space="preserve"> </w:t>
      </w:r>
    </w:p>
    <w:p w:rsidR="00046EBD" w:rsidRPr="00A81C0C" w:rsidRDefault="00046EBD" w:rsidP="00046EBD">
      <w:pPr>
        <w:jc w:val="both"/>
        <w:rPr>
          <w:lang w:eastAsia="nl-NL"/>
        </w:rPr>
      </w:pPr>
    </w:p>
    <w:p w:rsidR="00124C66" w:rsidRPr="00A81C0C" w:rsidRDefault="00124C66" w:rsidP="00124C66">
      <w:pPr>
        <w:pStyle w:val="ListParagraph"/>
        <w:numPr>
          <w:ilvl w:val="1"/>
          <w:numId w:val="1"/>
        </w:numPr>
        <w:autoSpaceDE w:val="0"/>
        <w:contextualSpacing/>
        <w:jc w:val="both"/>
        <w:rPr>
          <w:b/>
          <w:bCs/>
          <w:lang w:val="en-GB"/>
        </w:rPr>
      </w:pPr>
      <w:r w:rsidRPr="00A81C0C">
        <w:rPr>
          <w:b/>
          <w:bCs/>
          <w:lang w:val="en-GB"/>
        </w:rPr>
        <w:t xml:space="preserve">The Parties’ submissions </w:t>
      </w:r>
    </w:p>
    <w:p w:rsidR="00124C66" w:rsidRPr="00A81C0C" w:rsidRDefault="00124C66" w:rsidP="00124C66">
      <w:pPr>
        <w:pStyle w:val="ListParagraph"/>
        <w:rPr>
          <w:lang w:val="en-GB"/>
        </w:rPr>
      </w:pPr>
    </w:p>
    <w:p w:rsidR="00107C24" w:rsidRPr="00A81C0C" w:rsidRDefault="007A6FCD" w:rsidP="00107C24">
      <w:pPr>
        <w:pStyle w:val="ListParagraph"/>
        <w:numPr>
          <w:ilvl w:val="0"/>
          <w:numId w:val="12"/>
        </w:numPr>
        <w:suppressAutoHyphens w:val="0"/>
        <w:jc w:val="both"/>
        <w:rPr>
          <w:lang w:eastAsia="nl-NL"/>
        </w:rPr>
      </w:pPr>
      <w:r w:rsidRPr="00A81C0C">
        <w:rPr>
          <w:lang w:val="en-GB"/>
        </w:rPr>
        <w:t>The complainant in substance allege</w:t>
      </w:r>
      <w:r w:rsidR="0080248B" w:rsidRPr="00A81C0C">
        <w:rPr>
          <w:lang w:val="en-GB"/>
        </w:rPr>
        <w:t>s</w:t>
      </w:r>
      <w:r w:rsidR="006F35D0" w:rsidRPr="00A81C0C">
        <w:rPr>
          <w:lang w:val="en-GB"/>
        </w:rPr>
        <w:t xml:space="preserve"> a</w:t>
      </w:r>
      <w:r w:rsidRPr="00A81C0C">
        <w:rPr>
          <w:lang w:val="en-GB"/>
        </w:rPr>
        <w:t xml:space="preserve"> violation concerning the lack of an adequate criminal investigation into the</w:t>
      </w:r>
      <w:r w:rsidR="00124C66" w:rsidRPr="00A81C0C">
        <w:rPr>
          <w:lang w:val="en-GB"/>
        </w:rPr>
        <w:t xml:space="preserve"> abduction and</w:t>
      </w:r>
      <w:r w:rsidRPr="00A81C0C">
        <w:rPr>
          <w:lang w:val="en-GB"/>
        </w:rPr>
        <w:t xml:space="preserve"> </w:t>
      </w:r>
      <w:r w:rsidR="00EA6455" w:rsidRPr="00A81C0C">
        <w:rPr>
          <w:lang w:val="en-GB"/>
        </w:rPr>
        <w:t>killing</w:t>
      </w:r>
      <w:r w:rsidR="004B7B66" w:rsidRPr="00A81C0C">
        <w:rPr>
          <w:lang w:val="en-GB"/>
        </w:rPr>
        <w:t xml:space="preserve"> of </w:t>
      </w:r>
      <w:r w:rsidR="00C45577" w:rsidRPr="00A81C0C">
        <w:rPr>
          <w:lang w:val="en-GB"/>
        </w:rPr>
        <w:t xml:space="preserve">Mr </w:t>
      </w:r>
      <w:proofErr w:type="spellStart"/>
      <w:r w:rsidR="00A57E24" w:rsidRPr="00A81C0C">
        <w:rPr>
          <w:lang w:val="en-GB"/>
        </w:rPr>
        <w:t>Mlađan</w:t>
      </w:r>
      <w:proofErr w:type="spellEnd"/>
      <w:r w:rsidR="00A57E24" w:rsidRPr="00A81C0C">
        <w:rPr>
          <w:lang w:val="en-GB"/>
        </w:rPr>
        <w:t xml:space="preserve"> </w:t>
      </w:r>
      <w:proofErr w:type="spellStart"/>
      <w:r w:rsidR="00A57E24" w:rsidRPr="00A81C0C">
        <w:rPr>
          <w:lang w:val="en-GB"/>
        </w:rPr>
        <w:t>Mavrić</w:t>
      </w:r>
      <w:proofErr w:type="spellEnd"/>
      <w:r w:rsidR="00C45577" w:rsidRPr="00A81C0C">
        <w:rPr>
          <w:lang w:val="en-GB"/>
        </w:rPr>
        <w:t xml:space="preserve">. </w:t>
      </w:r>
    </w:p>
    <w:p w:rsidR="00FB5F7B" w:rsidRPr="00A81C0C" w:rsidRDefault="00FB5F7B" w:rsidP="00FB5F7B">
      <w:pPr>
        <w:pStyle w:val="ListParagraph"/>
        <w:suppressAutoHyphens w:val="0"/>
        <w:ind w:left="360"/>
        <w:jc w:val="both"/>
        <w:rPr>
          <w:lang w:eastAsia="nl-NL"/>
        </w:rPr>
      </w:pPr>
    </w:p>
    <w:p w:rsidR="00FB5F7B" w:rsidRPr="00A81C0C" w:rsidRDefault="00FB5F7B" w:rsidP="00FB5F7B">
      <w:pPr>
        <w:pStyle w:val="ListParagraph"/>
        <w:numPr>
          <w:ilvl w:val="0"/>
          <w:numId w:val="12"/>
        </w:numPr>
        <w:jc w:val="both"/>
        <w:rPr>
          <w:lang w:eastAsia="nl-NL"/>
        </w:rPr>
      </w:pPr>
      <w:r w:rsidRPr="00A81C0C">
        <w:rPr>
          <w:lang w:eastAsia="nl-NL"/>
        </w:rPr>
        <w:t>At the outset, the SRSG states that UNMIK obtained from EULEX only copies of the documents previously held by the UNMIK OMPF. The SRSG also state</w:t>
      </w:r>
      <w:r w:rsidR="00927FFE" w:rsidRPr="00A81C0C">
        <w:rPr>
          <w:lang w:eastAsia="nl-NL"/>
        </w:rPr>
        <w:t>s</w:t>
      </w:r>
      <w:r w:rsidRPr="00A81C0C">
        <w:rPr>
          <w:lang w:eastAsia="nl-NL"/>
        </w:rPr>
        <w:t xml:space="preserve"> that UNMIK received a communication from EULEX that they were not able to find any WCIU files with respect to Mr </w:t>
      </w:r>
      <w:proofErr w:type="spellStart"/>
      <w:r w:rsidRPr="00A81C0C">
        <w:rPr>
          <w:color w:val="000000"/>
          <w:lang w:val="en-GB" w:eastAsia="nl-NL"/>
        </w:rPr>
        <w:t>Mlađan</w:t>
      </w:r>
      <w:proofErr w:type="spellEnd"/>
      <w:r w:rsidRPr="00A81C0C">
        <w:rPr>
          <w:color w:val="000000"/>
          <w:lang w:val="en-GB" w:eastAsia="nl-NL"/>
        </w:rPr>
        <w:t xml:space="preserve"> </w:t>
      </w:r>
      <w:proofErr w:type="spellStart"/>
      <w:r w:rsidRPr="00A81C0C">
        <w:rPr>
          <w:color w:val="000000"/>
          <w:lang w:val="en-GB" w:eastAsia="nl-NL"/>
        </w:rPr>
        <w:t>Mavrić</w:t>
      </w:r>
      <w:proofErr w:type="spellEnd"/>
      <w:r w:rsidRPr="00A81C0C">
        <w:rPr>
          <w:color w:val="000000"/>
          <w:lang w:val="en-GB" w:eastAsia="nl-NL"/>
        </w:rPr>
        <w:t xml:space="preserve">. </w:t>
      </w:r>
    </w:p>
    <w:p w:rsidR="00FB5F7B" w:rsidRPr="00A81C0C" w:rsidRDefault="00FB5F7B" w:rsidP="00FB5F7B">
      <w:pPr>
        <w:pStyle w:val="ListParagraph"/>
        <w:rPr>
          <w:lang w:eastAsia="nl-NL"/>
        </w:rPr>
      </w:pPr>
    </w:p>
    <w:p w:rsidR="00FB5F7B" w:rsidRPr="00A81C0C" w:rsidRDefault="00FB5F7B" w:rsidP="00781FF3">
      <w:pPr>
        <w:pStyle w:val="ListParagraph"/>
        <w:numPr>
          <w:ilvl w:val="0"/>
          <w:numId w:val="12"/>
        </w:numPr>
        <w:jc w:val="both"/>
        <w:rPr>
          <w:lang w:eastAsia="nl-NL"/>
        </w:rPr>
      </w:pPr>
      <w:r w:rsidRPr="00A81C0C">
        <w:rPr>
          <w:bCs/>
          <w:lang w:val="en-GB"/>
        </w:rPr>
        <w:t>In</w:t>
      </w:r>
      <w:r w:rsidR="00C6169C" w:rsidRPr="00A81C0C">
        <w:rPr>
          <w:bCs/>
          <w:lang w:val="en-GB"/>
        </w:rPr>
        <w:t xml:space="preserve"> </w:t>
      </w:r>
      <w:r w:rsidRPr="00A81C0C">
        <w:rPr>
          <w:bCs/>
          <w:lang w:val="en-GB"/>
        </w:rPr>
        <w:t xml:space="preserve">his comments on the merits of the complaint, dated 2 March 2012, the SRSG first summarises the activities undertaken by the UNMIK Police in the present case, as documented in the available files. </w:t>
      </w:r>
      <w:r w:rsidRPr="00A81C0C">
        <w:rPr>
          <w:lang w:eastAsia="nl-NL"/>
        </w:rPr>
        <w:t xml:space="preserve">The SRSG states that, based on </w:t>
      </w:r>
      <w:r w:rsidR="009D5ED9" w:rsidRPr="00A81C0C">
        <w:rPr>
          <w:lang w:eastAsia="nl-NL"/>
        </w:rPr>
        <w:t xml:space="preserve">these documents, the UNMIK MPU opened a missing person file on </w:t>
      </w:r>
      <w:r w:rsidR="00883E76" w:rsidRPr="00A81C0C">
        <w:rPr>
          <w:lang w:val="en-GB"/>
        </w:rPr>
        <w:t xml:space="preserve">Mr </w:t>
      </w:r>
      <w:proofErr w:type="spellStart"/>
      <w:r w:rsidR="00883E76" w:rsidRPr="00A81C0C">
        <w:rPr>
          <w:lang w:val="en-GB"/>
        </w:rPr>
        <w:t>Mlađan</w:t>
      </w:r>
      <w:proofErr w:type="spellEnd"/>
      <w:r w:rsidR="00883E76" w:rsidRPr="00A81C0C">
        <w:rPr>
          <w:lang w:val="en-GB"/>
        </w:rPr>
        <w:t xml:space="preserve"> </w:t>
      </w:r>
      <w:proofErr w:type="spellStart"/>
      <w:r w:rsidR="00883E76" w:rsidRPr="00A81C0C">
        <w:rPr>
          <w:lang w:val="en-GB"/>
        </w:rPr>
        <w:t>Mavrić</w:t>
      </w:r>
      <w:proofErr w:type="spellEnd"/>
      <w:r w:rsidR="009D5ED9" w:rsidRPr="00A81C0C">
        <w:rPr>
          <w:lang w:val="en-GB"/>
        </w:rPr>
        <w:t xml:space="preserve"> in 2001 and that a “Victim Iden</w:t>
      </w:r>
      <w:r w:rsidR="00927FFE" w:rsidRPr="00A81C0C">
        <w:rPr>
          <w:lang w:val="en-GB"/>
        </w:rPr>
        <w:t>tification Form was filed with [</w:t>
      </w:r>
      <w:r w:rsidR="009D5ED9" w:rsidRPr="00A81C0C">
        <w:rPr>
          <w:lang w:val="en-GB"/>
        </w:rPr>
        <w:t>the MPU</w:t>
      </w:r>
      <w:r w:rsidR="00927FFE" w:rsidRPr="00A81C0C">
        <w:rPr>
          <w:lang w:val="en-GB"/>
        </w:rPr>
        <w:t>]</w:t>
      </w:r>
      <w:r w:rsidR="009D5ED9" w:rsidRPr="00A81C0C">
        <w:rPr>
          <w:lang w:val="en-GB"/>
        </w:rPr>
        <w:t xml:space="preserve"> on 16 August 2001</w:t>
      </w:r>
      <w:r w:rsidR="00927FFE" w:rsidRPr="00A81C0C">
        <w:rPr>
          <w:lang w:val="en-GB"/>
        </w:rPr>
        <w:t>”</w:t>
      </w:r>
      <w:r w:rsidR="009D5ED9" w:rsidRPr="00A81C0C">
        <w:rPr>
          <w:lang w:val="en-GB"/>
        </w:rPr>
        <w:t xml:space="preserve">. The MPU Case Continuation Report included in the file shows “three entries for the period August/September 2001”. On 22 November 2002, </w:t>
      </w:r>
      <w:r w:rsidR="00781FF3" w:rsidRPr="00A81C0C">
        <w:rPr>
          <w:lang w:val="en-GB"/>
        </w:rPr>
        <w:t>the mortal remains of an unidentified person were</w:t>
      </w:r>
      <w:r w:rsidR="009D5ED9" w:rsidRPr="00A81C0C">
        <w:rPr>
          <w:lang w:val="en-GB"/>
        </w:rPr>
        <w:t xml:space="preserve"> found in </w:t>
      </w:r>
      <w:proofErr w:type="spellStart"/>
      <w:r w:rsidR="009D5ED9" w:rsidRPr="00A81C0C">
        <w:rPr>
          <w:lang w:val="en-GB"/>
        </w:rPr>
        <w:t>Brestovc</w:t>
      </w:r>
      <w:proofErr w:type="spellEnd"/>
      <w:r w:rsidR="009D5ED9" w:rsidRPr="00A81C0C">
        <w:rPr>
          <w:lang w:val="en-GB"/>
        </w:rPr>
        <w:t>/</w:t>
      </w:r>
      <w:proofErr w:type="spellStart"/>
      <w:r w:rsidR="009D5ED9" w:rsidRPr="00A81C0C">
        <w:rPr>
          <w:lang w:val="en-GB"/>
        </w:rPr>
        <w:t>Brestovac</w:t>
      </w:r>
      <w:proofErr w:type="spellEnd"/>
      <w:r w:rsidR="009D5ED9" w:rsidRPr="00A81C0C">
        <w:rPr>
          <w:lang w:val="en-GB"/>
        </w:rPr>
        <w:t xml:space="preserve"> and an autopsy was conducted on 2 Decem</w:t>
      </w:r>
      <w:r w:rsidR="00781FF3" w:rsidRPr="00A81C0C">
        <w:rPr>
          <w:lang w:val="en-GB"/>
        </w:rPr>
        <w:t xml:space="preserve">ber 2002, establishing that the </w:t>
      </w:r>
      <w:r w:rsidR="009D5ED9" w:rsidRPr="00A81C0C">
        <w:rPr>
          <w:lang w:val="en-GB"/>
        </w:rPr>
        <w:t>death</w:t>
      </w:r>
      <w:r w:rsidR="00781FF3" w:rsidRPr="00A81C0C">
        <w:rPr>
          <w:lang w:val="en-GB"/>
        </w:rPr>
        <w:t xml:space="preserve"> had been caused by</w:t>
      </w:r>
      <w:r w:rsidR="009D5ED9" w:rsidRPr="00A81C0C">
        <w:rPr>
          <w:lang w:val="en-GB"/>
        </w:rPr>
        <w:t xml:space="preserve"> gunshot injuries to the head. </w:t>
      </w:r>
      <w:r w:rsidR="00C6169C" w:rsidRPr="00A81C0C">
        <w:rPr>
          <w:lang w:val="en-GB"/>
        </w:rPr>
        <w:t xml:space="preserve">On 12 November 2003 the mortal remains were identified as those of Mr </w:t>
      </w:r>
      <w:proofErr w:type="spellStart"/>
      <w:r w:rsidR="00C6169C" w:rsidRPr="00A81C0C">
        <w:rPr>
          <w:lang w:val="en-GB"/>
        </w:rPr>
        <w:t>Mlađan</w:t>
      </w:r>
      <w:proofErr w:type="spellEnd"/>
      <w:r w:rsidR="00C6169C" w:rsidRPr="00A81C0C">
        <w:rPr>
          <w:lang w:val="en-GB"/>
        </w:rPr>
        <w:t xml:space="preserve"> </w:t>
      </w:r>
      <w:proofErr w:type="spellStart"/>
      <w:r w:rsidR="00C6169C" w:rsidRPr="00A81C0C">
        <w:rPr>
          <w:lang w:val="en-GB"/>
        </w:rPr>
        <w:t>Mavrić</w:t>
      </w:r>
      <w:proofErr w:type="spellEnd"/>
      <w:r w:rsidR="00C6169C" w:rsidRPr="00A81C0C">
        <w:rPr>
          <w:lang w:val="en-GB"/>
        </w:rPr>
        <w:t xml:space="preserve"> based on DNA testing and comparison of ante-mortem and post-mortem information. They were handed over to the family on 29 November 2003 and buried the following day. </w:t>
      </w:r>
    </w:p>
    <w:p w:rsidR="00C6169C" w:rsidRPr="00A81C0C" w:rsidRDefault="00C6169C" w:rsidP="00C6169C">
      <w:pPr>
        <w:pStyle w:val="ListParagraph"/>
        <w:rPr>
          <w:lang w:eastAsia="nl-NL"/>
        </w:rPr>
      </w:pPr>
    </w:p>
    <w:p w:rsidR="007A7BD7" w:rsidRPr="00A81C0C" w:rsidRDefault="003A521C" w:rsidP="00C6169C">
      <w:pPr>
        <w:pStyle w:val="ListParagraph"/>
        <w:numPr>
          <w:ilvl w:val="0"/>
          <w:numId w:val="12"/>
        </w:numPr>
        <w:jc w:val="both"/>
        <w:rPr>
          <w:lang w:eastAsia="nl-NL"/>
        </w:rPr>
      </w:pPr>
      <w:r w:rsidRPr="00A81C0C">
        <w:rPr>
          <w:lang w:eastAsia="nl-NL"/>
        </w:rPr>
        <w:t>The SRSG recalls that</w:t>
      </w:r>
      <w:r w:rsidR="00C6169C" w:rsidRPr="00A81C0C">
        <w:rPr>
          <w:lang w:eastAsia="nl-NL"/>
        </w:rPr>
        <w:t xml:space="preserve"> in</w:t>
      </w:r>
      <w:r w:rsidR="00EA6455" w:rsidRPr="00A81C0C">
        <w:rPr>
          <w:bCs/>
          <w:lang w:val="en-GB"/>
        </w:rPr>
        <w:t xml:space="preserve"> his</w:t>
      </w:r>
      <w:r w:rsidRPr="00A81C0C">
        <w:rPr>
          <w:bCs/>
          <w:lang w:val="en-GB"/>
        </w:rPr>
        <w:t xml:space="preserve"> earlier comments of</w:t>
      </w:r>
      <w:r w:rsidR="00C6169C" w:rsidRPr="00A81C0C">
        <w:rPr>
          <w:bCs/>
          <w:lang w:val="en-GB"/>
        </w:rPr>
        <w:t xml:space="preserve"> 31 May 2011</w:t>
      </w:r>
      <w:r w:rsidR="00065134" w:rsidRPr="00A81C0C">
        <w:rPr>
          <w:bCs/>
          <w:lang w:val="en-GB"/>
        </w:rPr>
        <w:t xml:space="preserve">, </w:t>
      </w:r>
      <w:r w:rsidRPr="00A81C0C">
        <w:rPr>
          <w:bCs/>
          <w:lang w:val="en-GB"/>
        </w:rPr>
        <w:t xml:space="preserve">UNMIK raised </w:t>
      </w:r>
      <w:r w:rsidR="00065134" w:rsidRPr="00A81C0C">
        <w:rPr>
          <w:bCs/>
          <w:lang w:val="en-GB"/>
        </w:rPr>
        <w:t xml:space="preserve">no objection </w:t>
      </w:r>
      <w:r w:rsidR="00927FFE" w:rsidRPr="00A81C0C">
        <w:rPr>
          <w:bCs/>
          <w:lang w:val="en-GB"/>
        </w:rPr>
        <w:t>to</w:t>
      </w:r>
      <w:r w:rsidR="00EA6455" w:rsidRPr="00A81C0C">
        <w:rPr>
          <w:bCs/>
          <w:lang w:val="en-GB"/>
        </w:rPr>
        <w:t xml:space="preserve"> the</w:t>
      </w:r>
      <w:r w:rsidRPr="00A81C0C">
        <w:rPr>
          <w:bCs/>
          <w:lang w:val="en-GB"/>
        </w:rPr>
        <w:t xml:space="preserve"> admissibility of the case</w:t>
      </w:r>
      <w:r w:rsidR="00065134" w:rsidRPr="00A81C0C">
        <w:rPr>
          <w:bCs/>
          <w:lang w:val="en-GB"/>
        </w:rPr>
        <w:t xml:space="preserve"> </w:t>
      </w:r>
      <w:r w:rsidR="007A7BD7" w:rsidRPr="00A81C0C">
        <w:rPr>
          <w:bCs/>
          <w:lang w:val="en-GB"/>
        </w:rPr>
        <w:t>as far as the complaint</w:t>
      </w:r>
      <w:r w:rsidR="00065134" w:rsidRPr="00A81C0C">
        <w:rPr>
          <w:bCs/>
          <w:lang w:val="en-GB"/>
        </w:rPr>
        <w:t xml:space="preserve"> under Article 2 of the ECHR is</w:t>
      </w:r>
      <w:r w:rsidR="007A7BD7" w:rsidRPr="00A81C0C">
        <w:rPr>
          <w:bCs/>
          <w:lang w:val="en-GB"/>
        </w:rPr>
        <w:t xml:space="preserve"> concerned. </w:t>
      </w:r>
      <w:r w:rsidR="00C6169C" w:rsidRPr="00A81C0C">
        <w:rPr>
          <w:bCs/>
          <w:lang w:val="en-GB"/>
        </w:rPr>
        <w:t>However,</w:t>
      </w:r>
      <w:r w:rsidR="00EA6455" w:rsidRPr="00A81C0C">
        <w:rPr>
          <w:bCs/>
          <w:lang w:val="en-GB"/>
        </w:rPr>
        <w:t xml:space="preserve"> </w:t>
      </w:r>
      <w:r w:rsidRPr="00A81C0C">
        <w:rPr>
          <w:bCs/>
          <w:lang w:val="en-GB"/>
        </w:rPr>
        <w:t xml:space="preserve">in his subsequent comments of 2 March 2012, the SRSG </w:t>
      </w:r>
      <w:r w:rsidR="00C6169C" w:rsidRPr="00A81C0C">
        <w:rPr>
          <w:bCs/>
          <w:lang w:val="en-GB"/>
        </w:rPr>
        <w:t xml:space="preserve">partially </w:t>
      </w:r>
      <w:r w:rsidRPr="00A81C0C">
        <w:rPr>
          <w:bCs/>
          <w:lang w:val="en-GB"/>
        </w:rPr>
        <w:t>rectifies</w:t>
      </w:r>
      <w:r w:rsidR="00C6169C" w:rsidRPr="00A81C0C">
        <w:rPr>
          <w:lang w:val="en-GB"/>
        </w:rPr>
        <w:t xml:space="preserve"> the abo</w:t>
      </w:r>
      <w:r w:rsidRPr="00A81C0C">
        <w:rPr>
          <w:lang w:val="en-GB"/>
        </w:rPr>
        <w:t>vementioned submission to argue</w:t>
      </w:r>
      <w:r w:rsidR="007A7BD7" w:rsidRPr="00A81C0C">
        <w:rPr>
          <w:lang w:val="en-GB"/>
        </w:rPr>
        <w:t xml:space="preserve"> that a distinction shall be made </w:t>
      </w:r>
      <w:r w:rsidR="00FB5F7B" w:rsidRPr="00A81C0C">
        <w:rPr>
          <w:lang w:val="en-GB"/>
        </w:rPr>
        <w:t>between the different components of the obligation to conduct an effective investigation pursuant to Article 2 of the ECHR.</w:t>
      </w:r>
    </w:p>
    <w:p w:rsidR="00FB5F7B" w:rsidRPr="00A81C0C" w:rsidRDefault="00FB5F7B" w:rsidP="00FB5F7B">
      <w:pPr>
        <w:pStyle w:val="ListParagraph"/>
        <w:rPr>
          <w:lang w:eastAsia="nl-NL"/>
        </w:rPr>
      </w:pPr>
    </w:p>
    <w:p w:rsidR="00FB5F7B" w:rsidRPr="00A81C0C" w:rsidRDefault="00FB5F7B" w:rsidP="00FB5F7B">
      <w:pPr>
        <w:pStyle w:val="ListParagraph"/>
        <w:numPr>
          <w:ilvl w:val="0"/>
          <w:numId w:val="12"/>
        </w:numPr>
        <w:suppressAutoHyphens w:val="0"/>
        <w:jc w:val="both"/>
        <w:rPr>
          <w:lang w:eastAsia="nl-NL"/>
        </w:rPr>
      </w:pPr>
      <w:r w:rsidRPr="00A81C0C">
        <w:rPr>
          <w:lang w:eastAsia="nl-NL"/>
        </w:rPr>
        <w:t xml:space="preserve">The SRSG states that, according to the case law of the European Court on Human Rights, the procedural obligation under Article 2 is two-pronged entailing “both (i) </w:t>
      </w:r>
      <w:r w:rsidRPr="00A81C0C">
        <w:t>an obligation to determine through investigation the fate and/or whereabouts of the missing persons, and (ii) an obligation to conduct an investigation capable of determining whether there was an unlawful disappearance, also leading to the identification and punishment of those responsible for the disappearance of the missing persons”.</w:t>
      </w:r>
    </w:p>
    <w:p w:rsidR="00FB5F7B" w:rsidRPr="00A81C0C" w:rsidRDefault="00FB5F7B" w:rsidP="00FB5F7B">
      <w:pPr>
        <w:jc w:val="both"/>
        <w:rPr>
          <w:lang w:eastAsia="nl-NL"/>
        </w:rPr>
      </w:pPr>
    </w:p>
    <w:p w:rsidR="007A7BD7" w:rsidRPr="00A81C0C" w:rsidRDefault="00FB5F7B" w:rsidP="007A7BD7">
      <w:pPr>
        <w:pStyle w:val="ListParagraph"/>
        <w:numPr>
          <w:ilvl w:val="0"/>
          <w:numId w:val="12"/>
        </w:numPr>
        <w:suppressAutoHyphens w:val="0"/>
        <w:jc w:val="both"/>
        <w:rPr>
          <w:lang w:val="en-GB"/>
        </w:rPr>
      </w:pPr>
      <w:r w:rsidRPr="00A81C0C">
        <w:rPr>
          <w:lang w:eastAsia="nl-NL"/>
        </w:rPr>
        <w:t xml:space="preserve"> Concerning the present case, the </w:t>
      </w:r>
      <w:r w:rsidRPr="00A81C0C">
        <w:rPr>
          <w:color w:val="000000" w:themeColor="text1"/>
          <w:lang w:eastAsia="nl-NL"/>
        </w:rPr>
        <w:t>SRSG su</w:t>
      </w:r>
      <w:r w:rsidR="00C6169C" w:rsidRPr="00A81C0C">
        <w:rPr>
          <w:color w:val="000000" w:themeColor="text1"/>
          <w:lang w:eastAsia="nl-NL"/>
        </w:rPr>
        <w:t xml:space="preserve">bmits that, based on the facts as illustrated above, UNMIK complied with its obligation to determine the fate and whereabouts of </w:t>
      </w:r>
      <w:r w:rsidR="00C6169C" w:rsidRPr="00A81C0C">
        <w:rPr>
          <w:lang w:val="en-GB"/>
        </w:rPr>
        <w:t xml:space="preserve">Mr </w:t>
      </w:r>
      <w:proofErr w:type="spellStart"/>
      <w:r w:rsidR="00C6169C" w:rsidRPr="00A81C0C">
        <w:rPr>
          <w:lang w:val="en-GB"/>
        </w:rPr>
        <w:t>Mlađan</w:t>
      </w:r>
      <w:proofErr w:type="spellEnd"/>
      <w:r w:rsidR="00C6169C" w:rsidRPr="00A81C0C">
        <w:rPr>
          <w:lang w:val="en-GB"/>
        </w:rPr>
        <w:t xml:space="preserve"> </w:t>
      </w:r>
      <w:proofErr w:type="spellStart"/>
      <w:r w:rsidR="00C6169C" w:rsidRPr="00A81C0C">
        <w:rPr>
          <w:lang w:val="en-GB"/>
        </w:rPr>
        <w:t>Mavrić</w:t>
      </w:r>
      <w:proofErr w:type="spellEnd"/>
      <w:r w:rsidR="00C6169C" w:rsidRPr="00A81C0C">
        <w:rPr>
          <w:lang w:val="en-GB"/>
        </w:rPr>
        <w:t xml:space="preserve">. As the procedure of identification and handover of Mr </w:t>
      </w:r>
      <w:proofErr w:type="spellStart"/>
      <w:r w:rsidR="00C6169C" w:rsidRPr="00A81C0C">
        <w:rPr>
          <w:lang w:val="en-GB"/>
        </w:rPr>
        <w:t>Mlađan</w:t>
      </w:r>
      <w:proofErr w:type="spellEnd"/>
      <w:r w:rsidR="00C6169C" w:rsidRPr="00A81C0C">
        <w:rPr>
          <w:lang w:val="en-GB"/>
        </w:rPr>
        <w:t xml:space="preserve"> </w:t>
      </w:r>
      <w:proofErr w:type="spellStart"/>
      <w:r w:rsidR="00C6169C" w:rsidRPr="00A81C0C">
        <w:rPr>
          <w:lang w:val="en-GB"/>
        </w:rPr>
        <w:t>Mavrić’s</w:t>
      </w:r>
      <w:proofErr w:type="spellEnd"/>
      <w:r w:rsidR="00C6169C" w:rsidRPr="00A81C0C">
        <w:rPr>
          <w:lang w:val="en-GB"/>
        </w:rPr>
        <w:t xml:space="preserve"> mortal remains was completed in November 2003, well before the start of the Panel’s jurisdiction </w:t>
      </w:r>
      <w:r w:rsidR="00C6169C" w:rsidRPr="00A81C0C">
        <w:rPr>
          <w:i/>
          <w:lang w:val="en-GB"/>
        </w:rPr>
        <w:lastRenderedPageBreak/>
        <w:t>ratione temporis</w:t>
      </w:r>
      <w:r w:rsidR="00C6169C" w:rsidRPr="00A81C0C">
        <w:rPr>
          <w:lang w:val="en-GB"/>
        </w:rPr>
        <w:t>, a continuing violation of the “first prong of the Article 2” cannot be invoked in this r</w:t>
      </w:r>
      <w:r w:rsidR="00E23A87" w:rsidRPr="00A81C0C">
        <w:rPr>
          <w:lang w:val="en-GB"/>
        </w:rPr>
        <w:t>espect. Therefore, this part of</w:t>
      </w:r>
      <w:r w:rsidR="00C6169C" w:rsidRPr="00A81C0C">
        <w:rPr>
          <w:lang w:val="en-GB"/>
        </w:rPr>
        <w:t xml:space="preserve"> the complaint shall be declared inadmissible</w:t>
      </w:r>
      <w:r w:rsidR="00E23A87" w:rsidRPr="00A81C0C">
        <w:rPr>
          <w:lang w:val="en-GB"/>
        </w:rPr>
        <w:t xml:space="preserve"> as ill-founded</w:t>
      </w:r>
      <w:r w:rsidR="00C6169C" w:rsidRPr="00A81C0C">
        <w:rPr>
          <w:lang w:val="en-GB"/>
        </w:rPr>
        <w:t xml:space="preserve">. </w:t>
      </w:r>
    </w:p>
    <w:p w:rsidR="00C6169C" w:rsidRPr="00A81C0C" w:rsidRDefault="00C6169C" w:rsidP="00C6169C">
      <w:pPr>
        <w:pStyle w:val="ListParagraph"/>
        <w:rPr>
          <w:lang w:val="en-GB"/>
        </w:rPr>
      </w:pPr>
    </w:p>
    <w:p w:rsidR="00C6169C" w:rsidRPr="00A81C0C" w:rsidRDefault="00E23A87" w:rsidP="007A7BD7">
      <w:pPr>
        <w:pStyle w:val="ListParagraph"/>
        <w:numPr>
          <w:ilvl w:val="0"/>
          <w:numId w:val="12"/>
        </w:numPr>
        <w:suppressAutoHyphens w:val="0"/>
        <w:jc w:val="both"/>
        <w:rPr>
          <w:lang w:val="en-GB"/>
        </w:rPr>
      </w:pPr>
      <w:r w:rsidRPr="00A81C0C">
        <w:rPr>
          <w:lang w:val="en-GB"/>
        </w:rPr>
        <w:t xml:space="preserve">Concerning the obligation to identify and punish those responsible for the abduction and killing of Mr </w:t>
      </w:r>
      <w:proofErr w:type="spellStart"/>
      <w:r w:rsidRPr="00A81C0C">
        <w:rPr>
          <w:lang w:val="en-GB"/>
        </w:rPr>
        <w:t>Mlađan</w:t>
      </w:r>
      <w:proofErr w:type="spellEnd"/>
      <w:r w:rsidRPr="00A81C0C">
        <w:rPr>
          <w:lang w:val="en-GB"/>
        </w:rPr>
        <w:t xml:space="preserve"> </w:t>
      </w:r>
      <w:proofErr w:type="spellStart"/>
      <w:r w:rsidRPr="00A81C0C">
        <w:rPr>
          <w:lang w:val="en-GB"/>
        </w:rPr>
        <w:t>Mavrić</w:t>
      </w:r>
      <w:proofErr w:type="spellEnd"/>
      <w:r w:rsidRPr="00A81C0C">
        <w:rPr>
          <w:lang w:val="en-GB"/>
        </w:rPr>
        <w:t xml:space="preserve">, the SRSG states that the investigation into the present case shall be assessed within the broader context of UNMIK’s investigation in post-conflict Kosovo. </w:t>
      </w:r>
    </w:p>
    <w:p w:rsidR="00C6169C" w:rsidRPr="00A81C0C" w:rsidRDefault="00C6169C" w:rsidP="00C6169C">
      <w:pPr>
        <w:pStyle w:val="ListParagraph"/>
        <w:rPr>
          <w:lang w:val="en-GB"/>
        </w:rPr>
      </w:pPr>
    </w:p>
    <w:p w:rsidR="008B5FCE" w:rsidRPr="00A81C0C" w:rsidRDefault="00E23A87" w:rsidP="008B5FCE">
      <w:pPr>
        <w:pStyle w:val="ListParagraph"/>
        <w:numPr>
          <w:ilvl w:val="0"/>
          <w:numId w:val="12"/>
        </w:numPr>
        <w:suppressAutoHyphens w:val="0"/>
        <w:jc w:val="both"/>
        <w:rPr>
          <w:lang w:eastAsia="nl-NL"/>
        </w:rPr>
      </w:pPr>
      <w:r w:rsidRPr="00A81C0C">
        <w:rPr>
          <w:lang w:eastAsia="nl-NL"/>
        </w:rPr>
        <w:t>A</w:t>
      </w:r>
      <w:r w:rsidR="008B5FCE" w:rsidRPr="00A81C0C">
        <w:rPr>
          <w:lang w:eastAsia="nl-NL"/>
        </w:rPr>
        <w:t xml:space="preserve">ccording to the SRSG, when examining the complaint under Article 2, due consideration shall be given to “the difficulties inherent in post-conflict situations, and the concomitant problems that limit the ability of investigating authorities when conducting investigations of such nature”. The SRSG further observes that obligations under Article 2 must be interpreted in a way that does not impose an impossible or disproportionate burden on the authorities. In this regard, the SRSG recalls the judgment of 15 February 2011 rendered by the European Court of Human Rights in the case </w:t>
      </w:r>
      <w:r w:rsidR="008B5FCE" w:rsidRPr="00A81C0C">
        <w:rPr>
          <w:i/>
          <w:lang w:eastAsia="nl-NL"/>
        </w:rPr>
        <w:t>Palić v. Bosnia and Herzegovina</w:t>
      </w:r>
      <w:r w:rsidR="008B5FCE" w:rsidRPr="00A81C0C">
        <w:rPr>
          <w:lang w:eastAsia="nl-NL"/>
        </w:rPr>
        <w:t>, stating at paragraph 70:</w:t>
      </w:r>
    </w:p>
    <w:p w:rsidR="008B5FCE" w:rsidRDefault="008B5FCE" w:rsidP="008B5FCE">
      <w:pPr>
        <w:pStyle w:val="ListParagraph"/>
        <w:rPr>
          <w:lang w:eastAsia="nl-NL"/>
        </w:rPr>
      </w:pPr>
    </w:p>
    <w:p w:rsidR="008B5FCE" w:rsidRDefault="008B5FCE" w:rsidP="006A620F">
      <w:pPr>
        <w:tabs>
          <w:tab w:val="left" w:pos="709"/>
          <w:tab w:val="left" w:pos="9000"/>
        </w:tabs>
        <w:suppressAutoHyphens/>
        <w:autoSpaceDE w:val="0"/>
        <w:ind w:left="709" w:right="360"/>
        <w:jc w:val="both"/>
        <w:rPr>
          <w:lang w:eastAsia="nl-NL"/>
        </w:rPr>
      </w:pPr>
      <w:r>
        <w:rPr>
          <w:lang w:eastAsia="nl-NL"/>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Pr="005D53CE">
        <w:rPr>
          <w:i/>
          <w:lang w:eastAsia="nl-NL"/>
        </w:rPr>
        <w:t>Sejdić</w:t>
      </w:r>
      <w:proofErr w:type="spellEnd"/>
      <w:r w:rsidRPr="005D53CE">
        <w:rPr>
          <w:i/>
          <w:lang w:eastAsia="nl-NL"/>
        </w:rPr>
        <w:t xml:space="preserve"> and </w:t>
      </w:r>
      <w:proofErr w:type="spellStart"/>
      <w:r w:rsidRPr="005D53CE">
        <w:rPr>
          <w:i/>
          <w:lang w:eastAsia="nl-NL"/>
        </w:rPr>
        <w:t>Finci</w:t>
      </w:r>
      <w:proofErr w:type="spellEnd"/>
      <w:r w:rsidRPr="005D53CE">
        <w:rPr>
          <w:i/>
          <w:lang w:eastAsia="nl-NL"/>
        </w:rPr>
        <w:t xml:space="preserve"> v. Bosnia and Herzegovina</w:t>
      </w:r>
      <w:r>
        <w:rPr>
          <w:lang w:eastAsia="nl-NL"/>
        </w:rPr>
        <w:t xml:space="preserve"> [GC], nos. 27996/06 and 34836/06, ECHR 2009 ...),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w:t>
      </w:r>
      <w:r w:rsidR="00E23A87">
        <w:rPr>
          <w:lang w:eastAsia="nl-NL"/>
        </w:rPr>
        <w:t xml:space="preserve"> </w:t>
      </w:r>
      <w:r>
        <w:rPr>
          <w:lang w:eastAsia="nl-NL"/>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8B5FCE" w:rsidRDefault="008B5FCE" w:rsidP="008B5FCE">
      <w:pPr>
        <w:pStyle w:val="ListParagraph"/>
        <w:rPr>
          <w:lang w:eastAsia="nl-NL"/>
        </w:rPr>
      </w:pPr>
    </w:p>
    <w:p w:rsidR="008B5FCE" w:rsidRPr="00A81C0C" w:rsidRDefault="008B5FCE" w:rsidP="00634FB5">
      <w:pPr>
        <w:pStyle w:val="ListParagraph"/>
        <w:numPr>
          <w:ilvl w:val="0"/>
          <w:numId w:val="12"/>
        </w:numPr>
        <w:suppressAutoHyphens w:val="0"/>
        <w:jc w:val="both"/>
        <w:rPr>
          <w:lang w:eastAsia="nl-NL"/>
        </w:rPr>
      </w:pPr>
      <w:r w:rsidRPr="00A81C0C">
        <w:rPr>
          <w:lang w:eastAsia="nl-NL"/>
        </w:rPr>
        <w:t>In the view of the SRSG, the situation that UNMIK faced in Kosovo “from 1999 to 2008 was in most resp</w:t>
      </w:r>
      <w:r w:rsidR="00E23A87" w:rsidRPr="00A81C0C">
        <w:rPr>
          <w:lang w:eastAsia="nl-NL"/>
        </w:rPr>
        <w:t>ects similar to that</w:t>
      </w:r>
      <w:r w:rsidRPr="00A81C0C">
        <w:rPr>
          <w:lang w:eastAsia="nl-NL"/>
        </w:rPr>
        <w:t xml:space="preserve"> in Bosnia a</w:t>
      </w:r>
      <w:r w:rsidR="00E23A87" w:rsidRPr="00A81C0C">
        <w:rPr>
          <w:lang w:eastAsia="nl-NL"/>
        </w:rPr>
        <w:t>nd Herzegovina from 1995</w:t>
      </w:r>
      <w:r w:rsidRPr="00A81C0C">
        <w:rPr>
          <w:lang w:eastAsia="nl-NL"/>
        </w:rPr>
        <w:t xml:space="preserve">”. The SRSG states that </w:t>
      </w:r>
      <w:r w:rsidRPr="00A81C0C">
        <w:rPr>
          <w:lang w:eastAsia="nl-NL"/>
        </w:rPr>
        <w:lastRenderedPageBreak/>
        <w:t xml:space="preserve">during the Kosovo conflict thousands of people went missing, at least 800,000 people were displaced and thousands were killed. </w:t>
      </w:r>
    </w:p>
    <w:p w:rsidR="008B5FCE" w:rsidRDefault="008B5FCE" w:rsidP="00566CE6"/>
    <w:p w:rsidR="008B5FCE" w:rsidRDefault="00566CE6" w:rsidP="008B5FCE">
      <w:pPr>
        <w:pStyle w:val="ListParagraph"/>
        <w:numPr>
          <w:ilvl w:val="0"/>
          <w:numId w:val="12"/>
        </w:numPr>
        <w:suppressAutoHyphens w:val="0"/>
        <w:jc w:val="both"/>
        <w:rPr>
          <w:lang w:eastAsia="nl-NL"/>
        </w:rPr>
      </w:pPr>
      <w:r>
        <w:t xml:space="preserve">The SRSG </w:t>
      </w:r>
      <w:r w:rsidR="008B5FCE" w:rsidRPr="008B5FCE">
        <w:t xml:space="preserve">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 </w:t>
      </w:r>
    </w:p>
    <w:p w:rsidR="008B5FCE" w:rsidRDefault="008B5FCE" w:rsidP="008B5FCE">
      <w:pPr>
        <w:pStyle w:val="ListParagraph"/>
        <w:rPr>
          <w:lang w:eastAsia="nl-NL"/>
        </w:rPr>
      </w:pPr>
    </w:p>
    <w:p w:rsidR="008B5FCE" w:rsidRDefault="008B5FCE" w:rsidP="006A620F">
      <w:pPr>
        <w:tabs>
          <w:tab w:val="left" w:pos="709"/>
          <w:tab w:val="left" w:pos="9000"/>
        </w:tabs>
        <w:suppressAutoHyphens/>
        <w:autoSpaceDE w:val="0"/>
        <w:ind w:left="709" w:right="360"/>
        <w:jc w:val="both"/>
      </w:pPr>
      <w:r w:rsidRPr="00CF7B9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w:t>
      </w:r>
      <w:r w:rsidRPr="00CF7B9A">
        <w:rPr>
          <w:lang w:eastAsia="nl-NL"/>
        </w:rPr>
        <w:t>running</w:t>
      </w:r>
      <w:r w:rsidRPr="00CF7B9A">
        <w:t xml:space="preserve"> high amongst all ethnic groups, exacerbated by reports of missing and dead persons. It became imperative for UNMIK Police to establish order and to quickly construct a framework to register and investigate crimes. </w:t>
      </w:r>
    </w:p>
    <w:p w:rsidR="008B5FCE" w:rsidRDefault="008B5FCE" w:rsidP="008B5FCE">
      <w:pPr>
        <w:pStyle w:val="Default"/>
        <w:tabs>
          <w:tab w:val="num" w:pos="450"/>
          <w:tab w:val="left" w:pos="720"/>
        </w:tabs>
        <w:ind w:left="720"/>
        <w:jc w:val="both"/>
        <w:rPr>
          <w:color w:val="auto"/>
        </w:rPr>
      </w:pPr>
    </w:p>
    <w:p w:rsidR="008B5FCE" w:rsidRPr="008B5FCE" w:rsidRDefault="008B5FCE" w:rsidP="006A620F">
      <w:pPr>
        <w:tabs>
          <w:tab w:val="left" w:pos="709"/>
          <w:tab w:val="left" w:pos="9000"/>
        </w:tabs>
        <w:suppressAutoHyphens/>
        <w:autoSpaceDE w:val="0"/>
        <w:ind w:left="709" w:right="360"/>
        <w:jc w:val="both"/>
      </w:pPr>
      <w:r>
        <w:t xml:space="preserve">All </w:t>
      </w:r>
      <w:r w:rsidRPr="00CF7B9A">
        <w:t xml:space="preserve">of this had to be done with limited physical and human resources. Being the first executive mission in the </w:t>
      </w:r>
      <w:r w:rsidRPr="00CF7B9A">
        <w:rPr>
          <w:lang w:eastAsia="nl-NL"/>
        </w:rPr>
        <w:t>history</w:t>
      </w:r>
      <w:r w:rsidRPr="00CF7B9A">
        <w:t xml:space="preserve">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8B5FCE" w:rsidRDefault="008B5FCE" w:rsidP="008B5FCE">
      <w:pPr>
        <w:pStyle w:val="ListParagraph"/>
      </w:pPr>
    </w:p>
    <w:p w:rsidR="008B5FCE" w:rsidRDefault="008B5FCE" w:rsidP="008B5FCE">
      <w:pPr>
        <w:pStyle w:val="ListParagraph"/>
        <w:numPr>
          <w:ilvl w:val="0"/>
          <w:numId w:val="12"/>
        </w:numPr>
        <w:suppressAutoHyphens w:val="0"/>
        <w:jc w:val="both"/>
        <w:rPr>
          <w:lang w:eastAsia="nl-NL"/>
        </w:rPr>
      </w:pPr>
      <w:r w:rsidRPr="008B5FCE">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UNMIK international police officers working on cases of missing persons had to adjust to conducting investigations in</w:t>
      </w:r>
      <w:r w:rsidR="00E17FE1">
        <w:t xml:space="preserve"> a foreign territory and cultures</w:t>
      </w:r>
      <w:r w:rsidRPr="008B5FCE">
        <w:t xml:space="preserve">, with limited support from the still developing Kosovo Police. </w:t>
      </w:r>
    </w:p>
    <w:p w:rsidR="008B5FCE" w:rsidRDefault="008B5FCE" w:rsidP="008B5FCE">
      <w:pPr>
        <w:pStyle w:val="ListParagraph"/>
        <w:suppressAutoHyphens w:val="0"/>
        <w:ind w:left="360"/>
        <w:jc w:val="both"/>
        <w:rPr>
          <w:lang w:eastAsia="nl-NL"/>
        </w:rPr>
      </w:pPr>
    </w:p>
    <w:p w:rsidR="008B5FCE" w:rsidRPr="00A81C0C" w:rsidRDefault="008B5FCE" w:rsidP="008B5FCE">
      <w:pPr>
        <w:pStyle w:val="ListParagraph"/>
        <w:numPr>
          <w:ilvl w:val="0"/>
          <w:numId w:val="12"/>
        </w:numPr>
        <w:suppressAutoHyphens w:val="0"/>
        <w:jc w:val="both"/>
        <w:rPr>
          <w:lang w:eastAsia="nl-NL"/>
        </w:rPr>
      </w:pPr>
      <w:r>
        <w:rPr>
          <w:lang w:eastAsia="nl-NL"/>
        </w:rPr>
        <w:t xml:space="preserve">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which </w:t>
      </w:r>
      <w:r w:rsidRPr="00A81C0C">
        <w:rPr>
          <w:lang w:eastAsia="nl-NL"/>
        </w:rPr>
        <w:t xml:space="preserve">are not faced with the high number of cases of this nature associated with a post-conflict situation. </w:t>
      </w:r>
    </w:p>
    <w:p w:rsidR="008B5FCE" w:rsidRPr="00A81C0C" w:rsidRDefault="008B5FCE" w:rsidP="008B5FCE">
      <w:pPr>
        <w:pStyle w:val="ListParagraph"/>
        <w:rPr>
          <w:lang w:eastAsia="nl-NL"/>
        </w:rPr>
      </w:pPr>
    </w:p>
    <w:p w:rsidR="008B5FCE" w:rsidRPr="00A81C0C" w:rsidRDefault="008B5FCE" w:rsidP="008B5FCE">
      <w:pPr>
        <w:pStyle w:val="ListParagraph"/>
        <w:numPr>
          <w:ilvl w:val="0"/>
          <w:numId w:val="12"/>
        </w:numPr>
        <w:suppressAutoHyphens w:val="0"/>
        <w:jc w:val="both"/>
        <w:rPr>
          <w:lang w:eastAsia="nl-NL"/>
        </w:rPr>
      </w:pPr>
      <w:r w:rsidRPr="00A81C0C">
        <w:rPr>
          <w:lang w:eastAsia="nl-NL"/>
        </w:rPr>
        <w:t>The SRSG therefore argues that the constraints describe</w:t>
      </w:r>
      <w:r w:rsidR="005D53CE" w:rsidRPr="00A81C0C">
        <w:rPr>
          <w:lang w:eastAsia="nl-NL"/>
        </w:rPr>
        <w:t>d</w:t>
      </w:r>
      <w:r w:rsidRPr="00A81C0C">
        <w:rPr>
          <w:lang w:eastAsia="nl-NL"/>
        </w:rPr>
        <w:t xml:space="preserve"> above </w:t>
      </w:r>
      <w:r w:rsidR="00927FFE" w:rsidRPr="00A81C0C">
        <w:rPr>
          <w:lang w:eastAsia="nl-NL"/>
        </w:rPr>
        <w:t>“</w:t>
      </w:r>
      <w:r w:rsidRPr="00A81C0C">
        <w:rPr>
          <w:lang w:eastAsia="nl-NL"/>
        </w:rPr>
        <w:t xml:space="preserve">inhibited the ability of </w:t>
      </w:r>
      <w:r w:rsidR="00566CE6" w:rsidRPr="00A81C0C">
        <w:rPr>
          <w:lang w:eastAsia="nl-NL"/>
        </w:rPr>
        <w:t>an in</w:t>
      </w:r>
      <w:r w:rsidR="00927FFE" w:rsidRPr="00A81C0C">
        <w:rPr>
          <w:lang w:eastAsia="nl-NL"/>
        </w:rPr>
        <w:t xml:space="preserve">stitution </w:t>
      </w:r>
      <w:r w:rsidR="00566CE6" w:rsidRPr="00A81C0C">
        <w:rPr>
          <w:lang w:eastAsia="nl-NL"/>
        </w:rPr>
        <w:t xml:space="preserve">such as </w:t>
      </w:r>
      <w:r w:rsidRPr="00A81C0C">
        <w:rPr>
          <w:lang w:eastAsia="nl-NL"/>
        </w:rPr>
        <w:t>UNMIK to</w:t>
      </w:r>
      <w:r w:rsidR="00566CE6" w:rsidRPr="00A81C0C">
        <w:rPr>
          <w:lang w:eastAsia="nl-NL"/>
        </w:rPr>
        <w:t xml:space="preserve"> conduct </w:t>
      </w:r>
      <w:r w:rsidRPr="00A81C0C">
        <w:rPr>
          <w:lang w:eastAsia="nl-NL"/>
        </w:rPr>
        <w:t>all investigations in a manner</w:t>
      </w:r>
      <w:r w:rsidR="00566CE6" w:rsidRPr="00A81C0C">
        <w:rPr>
          <w:lang w:eastAsia="nl-NL"/>
        </w:rPr>
        <w:t xml:space="preserve">, when viewed </w:t>
      </w:r>
      <w:r w:rsidR="00566CE6" w:rsidRPr="00A81C0C">
        <w:rPr>
          <w:lang w:eastAsia="nl-NL"/>
        </w:rPr>
        <w:lastRenderedPageBreak/>
        <w:t xml:space="preserve">systematically, that </w:t>
      </w:r>
      <w:r w:rsidRPr="00A81C0C">
        <w:rPr>
          <w:lang w:eastAsia="nl-NL"/>
        </w:rPr>
        <w:t>may be demonstrated</w:t>
      </w:r>
      <w:r w:rsidR="00566CE6" w:rsidRPr="00A81C0C">
        <w:rPr>
          <w:lang w:eastAsia="nl-NL"/>
        </w:rPr>
        <w:t xml:space="preserve"> </w:t>
      </w:r>
      <w:proofErr w:type="gramStart"/>
      <w:r w:rsidR="00566CE6" w:rsidRPr="00A81C0C">
        <w:rPr>
          <w:lang w:eastAsia="nl-NL"/>
        </w:rPr>
        <w:t>by</w:t>
      </w:r>
      <w:r w:rsidRPr="00A81C0C">
        <w:rPr>
          <w:lang w:eastAsia="nl-NL"/>
        </w:rPr>
        <w:t>,</w:t>
      </w:r>
      <w:proofErr w:type="gramEnd"/>
      <w:r w:rsidRPr="00A81C0C">
        <w:rPr>
          <w:lang w:eastAsia="nl-NL"/>
        </w:rPr>
        <w:t xml:space="preserve"> or at least expected</w:t>
      </w:r>
      <w:r w:rsidR="00566CE6" w:rsidRPr="00A81C0C">
        <w:rPr>
          <w:lang w:eastAsia="nl-NL"/>
        </w:rPr>
        <w:t xml:space="preserve"> from, </w:t>
      </w:r>
      <w:r w:rsidRPr="00A81C0C">
        <w:rPr>
          <w:lang w:eastAsia="nl-NL"/>
        </w:rPr>
        <w:t>other States with more established institutions an</w:t>
      </w:r>
      <w:r w:rsidR="00566CE6" w:rsidRPr="00A81C0C">
        <w:rPr>
          <w:lang w:eastAsia="nl-NL"/>
        </w:rPr>
        <w:t>d not dealing with a post-conflict context</w:t>
      </w:r>
      <w:r w:rsidRPr="00A81C0C">
        <w:rPr>
          <w:lang w:eastAsia="nl-NL"/>
        </w:rPr>
        <w:t>”.</w:t>
      </w:r>
    </w:p>
    <w:p w:rsidR="008B5FCE" w:rsidRPr="00A81C0C" w:rsidRDefault="008B5FCE" w:rsidP="008B5FCE">
      <w:pPr>
        <w:pStyle w:val="ListParagraph"/>
        <w:rPr>
          <w:lang w:val="en-GB"/>
        </w:rPr>
      </w:pPr>
    </w:p>
    <w:p w:rsidR="00D87365" w:rsidRPr="00A81C0C" w:rsidRDefault="008B5FCE" w:rsidP="008B5FCE">
      <w:pPr>
        <w:pStyle w:val="ListParagraph"/>
        <w:numPr>
          <w:ilvl w:val="0"/>
          <w:numId w:val="12"/>
        </w:numPr>
        <w:suppressAutoHyphens w:val="0"/>
        <w:jc w:val="both"/>
        <w:rPr>
          <w:lang w:eastAsia="nl-NL"/>
        </w:rPr>
      </w:pPr>
      <w:r w:rsidRPr="00A81C0C">
        <w:rPr>
          <w:lang w:val="en-GB"/>
        </w:rPr>
        <w:t xml:space="preserve">With respect to the case of Mr </w:t>
      </w:r>
      <w:proofErr w:type="spellStart"/>
      <w:r w:rsidR="00D87365" w:rsidRPr="00A81C0C">
        <w:rPr>
          <w:lang w:val="en-GB"/>
        </w:rPr>
        <w:t>Mlađan</w:t>
      </w:r>
      <w:proofErr w:type="spellEnd"/>
      <w:r w:rsidR="00D87365" w:rsidRPr="00A81C0C">
        <w:rPr>
          <w:lang w:val="en-GB"/>
        </w:rPr>
        <w:t xml:space="preserve"> </w:t>
      </w:r>
      <w:proofErr w:type="spellStart"/>
      <w:r w:rsidR="00D87365" w:rsidRPr="00A81C0C">
        <w:rPr>
          <w:lang w:val="en-GB"/>
        </w:rPr>
        <w:t>Mavrić</w:t>
      </w:r>
      <w:proofErr w:type="spellEnd"/>
      <w:r w:rsidRPr="00A81C0C">
        <w:rPr>
          <w:lang w:val="en-GB"/>
        </w:rPr>
        <w:t>, the SRSG states that</w:t>
      </w:r>
      <w:r w:rsidR="00D87365" w:rsidRPr="00A81C0C">
        <w:rPr>
          <w:lang w:val="en-GB"/>
        </w:rPr>
        <w:t xml:space="preserve"> “the available UNMIK OMPF file</w:t>
      </w:r>
      <w:r w:rsidR="00927FFE" w:rsidRPr="00A81C0C">
        <w:rPr>
          <w:lang w:val="en-GB"/>
        </w:rPr>
        <w:t>s do</w:t>
      </w:r>
      <w:r w:rsidR="00D87365" w:rsidRPr="00A81C0C">
        <w:rPr>
          <w:lang w:val="en-GB"/>
        </w:rPr>
        <w:t xml:space="preserve"> not provide clear evidence with respect to the second aspect of the procedural element of Article 2” and that “it is unclear from a review of the files which steps were concretely taken by UNMIK Police/CCIU at </w:t>
      </w:r>
      <w:r w:rsidR="00927FFE" w:rsidRPr="00A81C0C">
        <w:rPr>
          <w:lang w:val="en-GB"/>
        </w:rPr>
        <w:t xml:space="preserve">the </w:t>
      </w:r>
      <w:r w:rsidR="00D87365" w:rsidRPr="00A81C0C">
        <w:rPr>
          <w:lang w:val="en-GB"/>
        </w:rPr>
        <w:t>different dates listed in the Case Continuation Report, and notably what was done by the UNMIK Police to clarify, for instance through witness statements, the circumstances of the abduction or to develop any other investigative lead</w:t>
      </w:r>
      <w:r w:rsidR="00927FFE" w:rsidRPr="00A81C0C">
        <w:rPr>
          <w:lang w:val="en-GB"/>
        </w:rPr>
        <w:t>s …</w:t>
      </w:r>
      <w:r w:rsidR="00D87365" w:rsidRPr="00A81C0C">
        <w:rPr>
          <w:lang w:val="en-GB"/>
        </w:rPr>
        <w:t xml:space="preserve"> which it could concretely follow up, either on the occasion of the initial report by Mr </w:t>
      </w:r>
      <w:proofErr w:type="spellStart"/>
      <w:r w:rsidR="00D87365" w:rsidRPr="00A81C0C">
        <w:rPr>
          <w:lang w:val="en-GB"/>
        </w:rPr>
        <w:t>Mavrić’s</w:t>
      </w:r>
      <w:proofErr w:type="spellEnd"/>
      <w:r w:rsidR="00D87365" w:rsidRPr="00A81C0C">
        <w:rPr>
          <w:lang w:val="en-GB"/>
        </w:rPr>
        <w:t xml:space="preserve"> relatives of the alleged abduction, or on any other occasion”. </w:t>
      </w:r>
    </w:p>
    <w:p w:rsidR="00D87365" w:rsidRPr="00A81C0C" w:rsidRDefault="00D87365" w:rsidP="00D87365">
      <w:pPr>
        <w:pStyle w:val="ListParagraph"/>
        <w:rPr>
          <w:lang w:eastAsia="nl-NL"/>
        </w:rPr>
      </w:pPr>
    </w:p>
    <w:p w:rsidR="00D87365" w:rsidRPr="00A81C0C" w:rsidRDefault="00D87365" w:rsidP="008B5FCE">
      <w:pPr>
        <w:pStyle w:val="ListParagraph"/>
        <w:numPr>
          <w:ilvl w:val="0"/>
          <w:numId w:val="12"/>
        </w:numPr>
        <w:suppressAutoHyphens w:val="0"/>
        <w:jc w:val="both"/>
        <w:rPr>
          <w:lang w:eastAsia="nl-NL"/>
        </w:rPr>
      </w:pPr>
      <w:r w:rsidRPr="00A81C0C">
        <w:rPr>
          <w:lang w:eastAsia="nl-NL"/>
        </w:rPr>
        <w:t>The SRSG concludes that “due to the dearth of relevant information as regards any follow-up investigative action, at this point in time UNMIK is not in a position to comment appropriately on the extent and effectiveness of UNMIK’s efforts aimed at establishing whether there was an unlawful disappearance, as well as at identifying the perpetrators”. The SRSG therefore reserves his right to make further comments on the matter</w:t>
      </w:r>
      <w:r w:rsidR="000070FF" w:rsidRPr="00A81C0C">
        <w:rPr>
          <w:lang w:eastAsia="nl-NL"/>
        </w:rPr>
        <w:t xml:space="preserve">, should any additional information be brought to UNMIK’s attention. </w:t>
      </w:r>
    </w:p>
    <w:p w:rsidR="000F7BEF" w:rsidRPr="000070FF" w:rsidRDefault="000F7BEF" w:rsidP="000070FF">
      <w:pPr>
        <w:rPr>
          <w:highlight w:val="yellow"/>
          <w:lang w:eastAsia="nl-NL"/>
        </w:rPr>
      </w:pPr>
    </w:p>
    <w:p w:rsidR="000F7BEF" w:rsidRPr="00984027" w:rsidRDefault="000F7BEF" w:rsidP="000F7BEF">
      <w:pPr>
        <w:pStyle w:val="ListParagraph"/>
        <w:numPr>
          <w:ilvl w:val="1"/>
          <w:numId w:val="1"/>
        </w:numPr>
        <w:autoSpaceDE w:val="0"/>
        <w:contextualSpacing/>
        <w:jc w:val="both"/>
        <w:rPr>
          <w:b/>
          <w:lang w:val="en-GB"/>
        </w:rPr>
      </w:pPr>
      <w:r w:rsidRPr="00984027">
        <w:rPr>
          <w:b/>
          <w:lang w:val="en-GB"/>
        </w:rPr>
        <w:t xml:space="preserve">The </w:t>
      </w:r>
      <w:r w:rsidRPr="00984027">
        <w:rPr>
          <w:b/>
          <w:bCs/>
          <w:lang w:val="en-GB"/>
        </w:rPr>
        <w:t>Panel’s</w:t>
      </w:r>
      <w:r w:rsidRPr="00984027">
        <w:rPr>
          <w:b/>
          <w:lang w:val="en-GB"/>
        </w:rPr>
        <w:t xml:space="preserve"> assessment</w:t>
      </w:r>
    </w:p>
    <w:p w:rsidR="000F7BEF" w:rsidRPr="00984027" w:rsidRDefault="000F7BEF" w:rsidP="000F7BEF">
      <w:pPr>
        <w:pStyle w:val="ListParagraph"/>
        <w:rPr>
          <w:lang w:val="en-GB"/>
        </w:rPr>
      </w:pPr>
    </w:p>
    <w:p w:rsidR="00E12DA3" w:rsidRPr="00CF4C0E" w:rsidRDefault="00987028" w:rsidP="00E12DA3">
      <w:pPr>
        <w:pStyle w:val="ListParagraph"/>
        <w:numPr>
          <w:ilvl w:val="0"/>
          <w:numId w:val="12"/>
        </w:numPr>
        <w:jc w:val="both"/>
        <w:rPr>
          <w:lang w:val="en-GB"/>
        </w:rPr>
      </w:pPr>
      <w:r w:rsidRPr="00CF4C0E">
        <w:rPr>
          <w:lang w:val="en-GB"/>
        </w:rPr>
        <w:t>The</w:t>
      </w:r>
      <w:r w:rsidRPr="00CF4C0E">
        <w:rPr>
          <w:bCs/>
          <w:lang w:val="en-GB"/>
        </w:rPr>
        <w:t xml:space="preserve"> Panel considers that the complainant invoke</w:t>
      </w:r>
      <w:r w:rsidR="00D9429B" w:rsidRPr="00CF4C0E">
        <w:rPr>
          <w:bCs/>
          <w:lang w:val="en-GB"/>
        </w:rPr>
        <w:t>s</w:t>
      </w:r>
      <w:r w:rsidRPr="00CF4C0E">
        <w:rPr>
          <w:bCs/>
          <w:lang w:val="en-GB"/>
        </w:rPr>
        <w:t xml:space="preserve"> a violation of the procedural obligation </w:t>
      </w:r>
      <w:r w:rsidRPr="00CF4C0E">
        <w:rPr>
          <w:lang w:val="en-GB"/>
        </w:rPr>
        <w:t>stemming</w:t>
      </w:r>
      <w:r w:rsidRPr="00CF4C0E">
        <w:rPr>
          <w:bCs/>
          <w:lang w:val="en-GB"/>
        </w:rPr>
        <w:t xml:space="preserve"> from the right to life, guar</w:t>
      </w:r>
      <w:r w:rsidR="00984027" w:rsidRPr="00CF4C0E">
        <w:rPr>
          <w:bCs/>
          <w:lang w:val="en-GB"/>
        </w:rPr>
        <w:t>anteed by Article 2 of the ECHR</w:t>
      </w:r>
      <w:r w:rsidRPr="00CF4C0E">
        <w:rPr>
          <w:bCs/>
          <w:lang w:val="en-GB"/>
        </w:rPr>
        <w:t xml:space="preserve"> in that UNMIK did not conduct an effective investigation into </w:t>
      </w:r>
      <w:r w:rsidR="001E40A0" w:rsidRPr="00CF4C0E">
        <w:rPr>
          <w:bCs/>
          <w:lang w:val="en-GB"/>
        </w:rPr>
        <w:t xml:space="preserve">the </w:t>
      </w:r>
      <w:r w:rsidR="000F7BEF" w:rsidRPr="00CF4C0E">
        <w:rPr>
          <w:bCs/>
          <w:lang w:val="en-GB"/>
        </w:rPr>
        <w:t xml:space="preserve">abduction and </w:t>
      </w:r>
      <w:r w:rsidR="00C46FD8" w:rsidRPr="00CF4C0E">
        <w:rPr>
          <w:bCs/>
          <w:lang w:val="en-GB"/>
        </w:rPr>
        <w:t>killing</w:t>
      </w:r>
      <w:r w:rsidR="000070FF" w:rsidRPr="00CF4C0E">
        <w:rPr>
          <w:bCs/>
          <w:lang w:val="en-GB"/>
        </w:rPr>
        <w:t xml:space="preserve"> of </w:t>
      </w:r>
      <w:r w:rsidR="000070FF" w:rsidRPr="00CF4C0E">
        <w:rPr>
          <w:lang w:val="en-GB"/>
        </w:rPr>
        <w:t xml:space="preserve">Mr </w:t>
      </w:r>
      <w:proofErr w:type="spellStart"/>
      <w:r w:rsidR="000070FF" w:rsidRPr="00CF4C0E">
        <w:rPr>
          <w:lang w:val="en-GB"/>
        </w:rPr>
        <w:t>Mlađan</w:t>
      </w:r>
      <w:proofErr w:type="spellEnd"/>
      <w:r w:rsidR="000070FF" w:rsidRPr="00CF4C0E">
        <w:rPr>
          <w:lang w:val="en-GB"/>
        </w:rPr>
        <w:t xml:space="preserve"> </w:t>
      </w:r>
      <w:proofErr w:type="spellStart"/>
      <w:r w:rsidR="000070FF" w:rsidRPr="00CF4C0E">
        <w:rPr>
          <w:lang w:val="en-GB"/>
        </w:rPr>
        <w:t>Mavrić</w:t>
      </w:r>
      <w:proofErr w:type="spellEnd"/>
      <w:r w:rsidR="000F7BEF" w:rsidRPr="00CF4C0E">
        <w:rPr>
          <w:lang w:val="en-GB"/>
        </w:rPr>
        <w:t>.</w:t>
      </w:r>
      <w:bookmarkStart w:id="21" w:name="_Ref354590617"/>
    </w:p>
    <w:p w:rsidR="00E12DA3" w:rsidRPr="00CF4C0E" w:rsidRDefault="00E12DA3" w:rsidP="00E12DA3">
      <w:pPr>
        <w:jc w:val="both"/>
        <w:rPr>
          <w:b/>
          <w:lang w:val="en-GB"/>
        </w:rPr>
      </w:pPr>
    </w:p>
    <w:p w:rsidR="00E12DA3" w:rsidRPr="00CF4C0E" w:rsidRDefault="00E12DA3" w:rsidP="00E12DA3">
      <w:pPr>
        <w:jc w:val="both"/>
        <w:rPr>
          <w:b/>
          <w:lang w:val="en-GB"/>
        </w:rPr>
      </w:pPr>
      <w:r w:rsidRPr="00CF4C0E">
        <w:rPr>
          <w:b/>
          <w:lang w:val="en-GB"/>
        </w:rPr>
        <w:t>Admissibility</w:t>
      </w:r>
    </w:p>
    <w:p w:rsidR="00E12DA3" w:rsidRPr="00CF4C0E" w:rsidRDefault="00E12DA3" w:rsidP="00FD2342">
      <w:pPr>
        <w:jc w:val="both"/>
        <w:rPr>
          <w:lang w:val="en-GB"/>
        </w:rPr>
      </w:pPr>
    </w:p>
    <w:p w:rsidR="00FD2342" w:rsidRPr="00CF4C0E" w:rsidRDefault="00E12DA3" w:rsidP="00FD2342">
      <w:pPr>
        <w:pStyle w:val="ListParagraph"/>
        <w:numPr>
          <w:ilvl w:val="0"/>
          <w:numId w:val="12"/>
        </w:numPr>
        <w:jc w:val="both"/>
        <w:rPr>
          <w:lang w:val="en-GB"/>
        </w:rPr>
      </w:pPr>
      <w:r w:rsidRPr="00CF4C0E">
        <w:rPr>
          <w:lang w:val="en-GB"/>
        </w:rPr>
        <w:t>The Panel notes the SRSG’s submission</w:t>
      </w:r>
      <w:r w:rsidR="00FD2342" w:rsidRPr="00CF4C0E">
        <w:rPr>
          <w:lang w:val="en-GB"/>
        </w:rPr>
        <w:t xml:space="preserve"> that UNMIK was able to locate and identify the mortal remains of Mr </w:t>
      </w:r>
      <w:proofErr w:type="spellStart"/>
      <w:r w:rsidR="00FD2342" w:rsidRPr="00CF4C0E">
        <w:rPr>
          <w:lang w:val="en-GB"/>
        </w:rPr>
        <w:t>Mlađan</w:t>
      </w:r>
      <w:proofErr w:type="spellEnd"/>
      <w:r w:rsidR="00FD2342" w:rsidRPr="00CF4C0E">
        <w:rPr>
          <w:lang w:val="en-GB"/>
        </w:rPr>
        <w:t xml:space="preserve"> </w:t>
      </w:r>
      <w:proofErr w:type="spellStart"/>
      <w:r w:rsidR="00FD2342" w:rsidRPr="00CF4C0E">
        <w:rPr>
          <w:lang w:val="en-GB"/>
        </w:rPr>
        <w:t>Mavrić</w:t>
      </w:r>
      <w:proofErr w:type="spellEnd"/>
      <w:r w:rsidR="00FD2342" w:rsidRPr="00CF4C0E">
        <w:rPr>
          <w:lang w:val="en-GB"/>
        </w:rPr>
        <w:t xml:space="preserve">, thus complying with one of the procedural requirements envisaged by Article 2 of the ECHR, namely the obligation to conduct an investigation capable of determining the fate and whereabouts of the missing person. As the procedure of identification and handing over of the mortal remains was completed by November 2003, the SRSG is of the view that the complaint concerning the above-mentioned aspect of Article 2 is </w:t>
      </w:r>
      <w:r w:rsidR="00927FFE" w:rsidRPr="00CF4C0E">
        <w:rPr>
          <w:lang w:val="en-GB"/>
        </w:rPr>
        <w:t>ill-founded</w:t>
      </w:r>
      <w:r w:rsidR="00FD2342" w:rsidRPr="00CF4C0E">
        <w:rPr>
          <w:lang w:val="en-GB"/>
        </w:rPr>
        <w:t xml:space="preserve"> and shall be therefore declared inadmissible.  </w:t>
      </w:r>
    </w:p>
    <w:p w:rsidR="00FD2342" w:rsidRPr="00CF4C0E" w:rsidRDefault="00FD2342" w:rsidP="00FD2342">
      <w:pPr>
        <w:pStyle w:val="ListParagraph"/>
        <w:ind w:left="360"/>
        <w:jc w:val="both"/>
        <w:rPr>
          <w:lang w:val="en-GB"/>
        </w:rPr>
      </w:pPr>
    </w:p>
    <w:p w:rsidR="00FD2342" w:rsidRPr="00CF4C0E" w:rsidRDefault="00746D31" w:rsidP="00FD2342">
      <w:pPr>
        <w:pStyle w:val="ListParagraph"/>
        <w:numPr>
          <w:ilvl w:val="0"/>
          <w:numId w:val="12"/>
        </w:numPr>
        <w:jc w:val="both"/>
        <w:rPr>
          <w:lang w:val="en-GB"/>
        </w:rPr>
      </w:pPr>
      <w:r w:rsidRPr="00CF4C0E">
        <w:rPr>
          <w:lang w:val="en-GB"/>
        </w:rPr>
        <w:t>The Panel notes that, o</w:t>
      </w:r>
      <w:r w:rsidR="00FD2342" w:rsidRPr="00CF4C0E">
        <w:rPr>
          <w:lang w:val="en-GB"/>
        </w:rPr>
        <w:t xml:space="preserve">n the other hand, the SRSG accepts that the complaint is admissible with respect to another procedural requirement of Article 2 of the ECHR, namely the obligation to conduct an investigation capable of determining “whether there was an unlawful disappearance and leading to the identification and punishment of those responsible for the abduction” of Mr </w:t>
      </w:r>
      <w:proofErr w:type="spellStart"/>
      <w:r w:rsidR="00FD2342" w:rsidRPr="00CF4C0E">
        <w:rPr>
          <w:lang w:val="en-GB"/>
        </w:rPr>
        <w:t>Mlađan</w:t>
      </w:r>
      <w:proofErr w:type="spellEnd"/>
      <w:r w:rsidR="00FD2342" w:rsidRPr="00CF4C0E">
        <w:rPr>
          <w:lang w:val="en-GB"/>
        </w:rPr>
        <w:t xml:space="preserve"> </w:t>
      </w:r>
      <w:proofErr w:type="spellStart"/>
      <w:r w:rsidR="00FD2342" w:rsidRPr="00CF4C0E">
        <w:rPr>
          <w:lang w:val="en-GB"/>
        </w:rPr>
        <w:t>Mavrić</w:t>
      </w:r>
      <w:proofErr w:type="spellEnd"/>
      <w:r w:rsidR="00FD2342" w:rsidRPr="00CF4C0E">
        <w:rPr>
          <w:lang w:val="en-GB"/>
        </w:rPr>
        <w:t xml:space="preserve">. </w:t>
      </w:r>
    </w:p>
    <w:p w:rsidR="00FD2342" w:rsidRPr="00CF4C0E" w:rsidRDefault="00FD2342" w:rsidP="00FD2342">
      <w:pPr>
        <w:pStyle w:val="ListParagraph"/>
        <w:ind w:left="360"/>
        <w:jc w:val="both"/>
        <w:rPr>
          <w:lang w:val="en-GB"/>
        </w:rPr>
      </w:pPr>
    </w:p>
    <w:p w:rsidR="00FD2342" w:rsidRPr="00CF4C0E" w:rsidRDefault="00FD2342" w:rsidP="00FD2342">
      <w:pPr>
        <w:pStyle w:val="ListParagraph"/>
        <w:numPr>
          <w:ilvl w:val="0"/>
          <w:numId w:val="12"/>
        </w:numPr>
        <w:jc w:val="both"/>
        <w:rPr>
          <w:lang w:val="en-GB"/>
        </w:rPr>
      </w:pPr>
      <w:r w:rsidRPr="00CF4C0E">
        <w:rPr>
          <w:lang w:val="en-GB"/>
        </w:rPr>
        <w:t>The Panel notes that the SRSG distinguishes between these two procedural requirements of Article 2 of the ECHR. He thus considers that the activities of location and identification of the mortal remains of a missing person can be considered as an independent component of the procedural obligation envisaged by Article 2 of the ECHR.</w:t>
      </w:r>
    </w:p>
    <w:p w:rsidR="00FD2342" w:rsidRPr="00CF4C0E" w:rsidRDefault="00FD2342" w:rsidP="00746D31">
      <w:pPr>
        <w:pStyle w:val="ListParagraph"/>
        <w:ind w:left="360"/>
        <w:jc w:val="both"/>
        <w:rPr>
          <w:lang w:val="en-GB"/>
        </w:rPr>
      </w:pPr>
    </w:p>
    <w:p w:rsidR="00FD2342" w:rsidRPr="00CF4C0E" w:rsidRDefault="00FD2342" w:rsidP="00746D31">
      <w:pPr>
        <w:pStyle w:val="ListParagraph"/>
        <w:numPr>
          <w:ilvl w:val="0"/>
          <w:numId w:val="12"/>
        </w:numPr>
        <w:jc w:val="both"/>
        <w:rPr>
          <w:lang w:val="en-GB"/>
        </w:rPr>
      </w:pPr>
      <w:r w:rsidRPr="00CF4C0E">
        <w:rPr>
          <w:lang w:val="en-GB"/>
        </w:rPr>
        <w:lastRenderedPageBreak/>
        <w:t xml:space="preserve">On this point, the Panel refers to the case law of the European Court of Human Rights </w:t>
      </w:r>
      <w:r w:rsidR="00746D31" w:rsidRPr="00CF4C0E">
        <w:rPr>
          <w:lang w:val="en-GB"/>
        </w:rPr>
        <w:t xml:space="preserve">and its own case law stating that it is true that “the procedural obligation arising from a disappearance will generally remain as long as the whereabouts and fate of the person are unaccounted for, and it is thus </w:t>
      </w:r>
      <w:r w:rsidR="003A521C" w:rsidRPr="00CF4C0E">
        <w:rPr>
          <w:lang w:val="en-GB"/>
        </w:rPr>
        <w:t xml:space="preserve">of a continuing nature” (ECtHR, </w:t>
      </w:r>
      <w:r w:rsidR="003A521C" w:rsidRPr="00CF4C0E">
        <w:rPr>
          <w:i/>
          <w:lang w:val="en-GB"/>
        </w:rPr>
        <w:t>Palić v. Bosnia and Herzegovina</w:t>
      </w:r>
      <w:r w:rsidR="003A521C" w:rsidRPr="00CF4C0E">
        <w:rPr>
          <w:lang w:val="en-GB"/>
        </w:rPr>
        <w:t>, no. 4704/04, judgment of 15 February 2011</w:t>
      </w:r>
      <w:r w:rsidR="00746D31" w:rsidRPr="00CF4C0E">
        <w:rPr>
          <w:lang w:val="en-GB"/>
        </w:rPr>
        <w:t>, at</w:t>
      </w:r>
      <w:r w:rsidR="006A620F">
        <w:rPr>
          <w:lang w:val="en-GB"/>
        </w:rPr>
        <w:t xml:space="preserve"> § 46; in the same sense ECtHR [GC]</w:t>
      </w:r>
      <w:r w:rsidR="00746D31" w:rsidRPr="00CF4C0E">
        <w:rPr>
          <w:lang w:val="en-GB"/>
        </w:rPr>
        <w:t xml:space="preserve">, </w:t>
      </w:r>
      <w:r w:rsidR="00746D31" w:rsidRPr="00CF4C0E">
        <w:rPr>
          <w:i/>
          <w:lang w:val="en-GB"/>
        </w:rPr>
        <w:t>Varnava and Others v. Turkey</w:t>
      </w:r>
      <w:r w:rsidR="00746D31" w:rsidRPr="00CF4C0E">
        <w:rPr>
          <w:lang w:val="en-GB"/>
        </w:rPr>
        <w:t xml:space="preserve">, cited in § </w:t>
      </w:r>
      <w:r w:rsidR="003A521C" w:rsidRPr="00CF4C0E">
        <w:rPr>
          <w:lang w:val="en-GB"/>
        </w:rPr>
        <w:t>43</w:t>
      </w:r>
      <w:r w:rsidR="00746D31" w:rsidRPr="00CF4C0E">
        <w:rPr>
          <w:lang w:val="en-GB"/>
        </w:rPr>
        <w:t xml:space="preserve"> above, at § 148). However,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00746D31" w:rsidRPr="00CF4C0E">
        <w:rPr>
          <w:i/>
          <w:lang w:val="en-GB"/>
        </w:rPr>
        <w:t>Palić v. Bosnia and Herzegovina</w:t>
      </w:r>
      <w:r w:rsidR="00746D31" w:rsidRPr="00CF4C0E">
        <w:rPr>
          <w:lang w:val="en-GB"/>
        </w:rPr>
        <w:t>, cited a</w:t>
      </w:r>
      <w:r w:rsidR="003A521C" w:rsidRPr="00CF4C0E">
        <w:rPr>
          <w:lang w:val="en-GB"/>
        </w:rPr>
        <w:t>bove, at § 46;</w:t>
      </w:r>
      <w:r w:rsidR="00746D31" w:rsidRPr="00CF4C0E">
        <w:rPr>
          <w:lang w:val="en-GB"/>
        </w:rPr>
        <w:t xml:space="preserve"> ECtHR [GC], </w:t>
      </w:r>
      <w:r w:rsidR="00746D31" w:rsidRPr="00CF4C0E">
        <w:rPr>
          <w:i/>
          <w:lang w:val="en-GB"/>
        </w:rPr>
        <w:t>Varnava and Others v. Turkey</w:t>
      </w:r>
      <w:r w:rsidR="00746D31" w:rsidRPr="00CF4C0E">
        <w:rPr>
          <w:lang w:val="en-GB"/>
        </w:rPr>
        <w:t xml:space="preserve">, cited above, at § 145). The procedural obligation under Article 2 of the ECHR should therefore be seen as a single obligation. While the location and the subsequent identification of the mortal remains of the victim may in themselves be significant achievements, the procedural obligation under Article 2 continues to exist (see ECtHR, </w:t>
      </w:r>
      <w:r w:rsidR="00746D31" w:rsidRPr="00CF4C0E">
        <w:rPr>
          <w:i/>
          <w:lang w:val="en-GB"/>
        </w:rPr>
        <w:t>Palić v. Bosnia and Herzegovina</w:t>
      </w:r>
      <w:r w:rsidR="00746D31" w:rsidRPr="00CF4C0E">
        <w:rPr>
          <w:lang w:val="en-GB"/>
        </w:rPr>
        <w:t xml:space="preserve">, cited above, at § 64). </w:t>
      </w:r>
    </w:p>
    <w:p w:rsidR="00746D31" w:rsidRPr="00746D31" w:rsidRDefault="00746D31" w:rsidP="00746D31">
      <w:pPr>
        <w:pStyle w:val="ListParagraph"/>
        <w:ind w:left="360"/>
        <w:jc w:val="both"/>
        <w:rPr>
          <w:highlight w:val="yellow"/>
          <w:lang w:val="en-GB"/>
        </w:rPr>
      </w:pPr>
    </w:p>
    <w:p w:rsidR="00FD2342" w:rsidRPr="00CF4C0E" w:rsidRDefault="00FD2342" w:rsidP="00FD2342">
      <w:pPr>
        <w:pStyle w:val="ListParagraph"/>
        <w:numPr>
          <w:ilvl w:val="0"/>
          <w:numId w:val="12"/>
        </w:numPr>
        <w:jc w:val="both"/>
        <w:rPr>
          <w:lang w:val="en-GB"/>
        </w:rPr>
      </w:pPr>
      <w:r w:rsidRPr="00CF4C0E">
        <w:rPr>
          <w:lang w:val="en-GB"/>
        </w:rPr>
        <w:t>For these reasons, the Panel will not separate the obligation to conduct an investigation capable of determining the fate and whereabouts of the missing person from the obligation to conduct an investigation capable of determining whether there was an unlawful disappearance and leading to the identification and punishment of those responsible for the disappearance and death of the victim. The Panel will proceed on the basis of a single continuing obligation. Obviously, however, the fac</w:t>
      </w:r>
      <w:r w:rsidR="00746D31" w:rsidRPr="00CF4C0E">
        <w:rPr>
          <w:lang w:val="en-GB"/>
        </w:rPr>
        <w:t xml:space="preserve">t that the mortal remains of Mr </w:t>
      </w:r>
      <w:proofErr w:type="spellStart"/>
      <w:r w:rsidR="00746D31" w:rsidRPr="00CF4C0E">
        <w:rPr>
          <w:lang w:val="en-GB"/>
        </w:rPr>
        <w:t>Mlađan</w:t>
      </w:r>
      <w:proofErr w:type="spellEnd"/>
      <w:r w:rsidR="00746D31" w:rsidRPr="00CF4C0E">
        <w:rPr>
          <w:lang w:val="en-GB"/>
        </w:rPr>
        <w:t xml:space="preserve"> </w:t>
      </w:r>
      <w:proofErr w:type="spellStart"/>
      <w:r w:rsidR="00746D31" w:rsidRPr="00CF4C0E">
        <w:rPr>
          <w:lang w:val="en-GB"/>
        </w:rPr>
        <w:t>Mavrić</w:t>
      </w:r>
      <w:proofErr w:type="spellEnd"/>
      <w:r w:rsidR="00746D31" w:rsidRPr="00CF4C0E">
        <w:rPr>
          <w:lang w:val="en-GB"/>
        </w:rPr>
        <w:t xml:space="preserve"> </w:t>
      </w:r>
      <w:r w:rsidRPr="00CF4C0E">
        <w:rPr>
          <w:lang w:val="en-GB"/>
        </w:rPr>
        <w:t>have been located and subsequently identified is a significant element to be taken into account in the overall assessment of the fulfilment of the procedural obligation under Article 2 of the ECHR</w:t>
      </w:r>
      <w:r w:rsidR="00746D31" w:rsidRPr="00CF4C0E">
        <w:rPr>
          <w:lang w:val="en-GB"/>
        </w:rPr>
        <w:t xml:space="preserve"> (see HRAP, </w:t>
      </w:r>
      <w:proofErr w:type="spellStart"/>
      <w:r w:rsidR="00746D31" w:rsidRPr="00CF4C0E">
        <w:rPr>
          <w:i/>
          <w:lang w:val="en-GB"/>
        </w:rPr>
        <w:t>Simović</w:t>
      </w:r>
      <w:proofErr w:type="spellEnd"/>
      <w:r w:rsidR="00746D31" w:rsidRPr="00CF4C0E">
        <w:rPr>
          <w:lang w:val="en-GB"/>
        </w:rPr>
        <w:t>, case no. 246/09, opinion of 6 April 2012, at §§ 18-19)</w:t>
      </w:r>
      <w:r w:rsidRPr="00CF4C0E">
        <w:rPr>
          <w:lang w:val="en-GB"/>
        </w:rPr>
        <w:t>.</w:t>
      </w:r>
    </w:p>
    <w:p w:rsidR="00FD2342" w:rsidRPr="00CF4C0E" w:rsidRDefault="00FD2342" w:rsidP="00746D31">
      <w:pPr>
        <w:pStyle w:val="ListParagraph"/>
        <w:ind w:left="360"/>
        <w:jc w:val="both"/>
        <w:rPr>
          <w:lang w:val="en-GB"/>
        </w:rPr>
      </w:pPr>
    </w:p>
    <w:p w:rsidR="00FD2342" w:rsidRPr="00CF4C0E" w:rsidRDefault="00FD2342" w:rsidP="00FD2342">
      <w:pPr>
        <w:pStyle w:val="ListParagraph"/>
        <w:numPr>
          <w:ilvl w:val="0"/>
          <w:numId w:val="12"/>
        </w:numPr>
        <w:jc w:val="both"/>
        <w:rPr>
          <w:lang w:val="en-GB"/>
        </w:rPr>
      </w:pPr>
      <w:r w:rsidRPr="00CF4C0E">
        <w:rPr>
          <w:lang w:val="en-GB"/>
        </w:rPr>
        <w:t>The objection r</w:t>
      </w:r>
      <w:r w:rsidR="003A521C" w:rsidRPr="00CF4C0E">
        <w:rPr>
          <w:lang w:val="en-GB"/>
        </w:rPr>
        <w:t>aised by the SRSG is therefore</w:t>
      </w:r>
      <w:r w:rsidRPr="00CF4C0E">
        <w:rPr>
          <w:lang w:val="en-GB"/>
        </w:rPr>
        <w:t xml:space="preserve"> dismissed</w:t>
      </w:r>
      <w:r w:rsidR="003A521C" w:rsidRPr="00CF4C0E">
        <w:rPr>
          <w:lang w:val="en-GB"/>
        </w:rPr>
        <w:t xml:space="preserve"> and the comp</w:t>
      </w:r>
      <w:r w:rsidR="00CF4C0E">
        <w:rPr>
          <w:lang w:val="en-GB"/>
        </w:rPr>
        <w:t>laint under Article 2 is confirme</w:t>
      </w:r>
      <w:r w:rsidR="003A521C" w:rsidRPr="00CF4C0E">
        <w:rPr>
          <w:lang w:val="en-GB"/>
        </w:rPr>
        <w:t>d fully admissible</w:t>
      </w:r>
      <w:r w:rsidRPr="00CF4C0E">
        <w:rPr>
          <w:lang w:val="en-GB"/>
        </w:rPr>
        <w:t>.</w:t>
      </w:r>
    </w:p>
    <w:p w:rsidR="00746D31" w:rsidRPr="00746D31" w:rsidRDefault="00746D31" w:rsidP="00746D31">
      <w:pPr>
        <w:jc w:val="both"/>
        <w:rPr>
          <w:lang w:val="en-GB"/>
        </w:rPr>
      </w:pPr>
    </w:p>
    <w:p w:rsidR="00E12DA3" w:rsidRPr="00CF4C0E" w:rsidRDefault="00746D31" w:rsidP="003A521C">
      <w:pPr>
        <w:jc w:val="both"/>
        <w:rPr>
          <w:b/>
          <w:lang w:val="en-GB"/>
        </w:rPr>
      </w:pPr>
      <w:r w:rsidRPr="00CF4C0E">
        <w:rPr>
          <w:b/>
          <w:lang w:val="en-GB"/>
        </w:rPr>
        <w:t xml:space="preserve">Merits </w:t>
      </w:r>
    </w:p>
    <w:p w:rsidR="00E12DA3" w:rsidRPr="00CF4C0E" w:rsidRDefault="00E12DA3" w:rsidP="00746D31">
      <w:pPr>
        <w:jc w:val="both"/>
        <w:rPr>
          <w:lang w:val="en-GB"/>
        </w:rPr>
      </w:pPr>
    </w:p>
    <w:p w:rsidR="00E12DA3" w:rsidRPr="00CF4C0E" w:rsidRDefault="00E12DA3" w:rsidP="00E12DA3">
      <w:pPr>
        <w:pStyle w:val="ListParagraph"/>
        <w:numPr>
          <w:ilvl w:val="0"/>
          <w:numId w:val="7"/>
        </w:numPr>
        <w:contextualSpacing/>
        <w:jc w:val="both"/>
        <w:rPr>
          <w:i/>
          <w:lang w:val="en-GB"/>
        </w:rPr>
      </w:pPr>
      <w:r w:rsidRPr="00CF4C0E">
        <w:rPr>
          <w:i/>
          <w:lang w:val="en-GB"/>
        </w:rPr>
        <w:t>Submission of relevant files</w:t>
      </w:r>
    </w:p>
    <w:p w:rsidR="00E12DA3" w:rsidRDefault="00E12DA3" w:rsidP="00E12DA3">
      <w:pPr>
        <w:pStyle w:val="ListParagraph"/>
        <w:ind w:left="360"/>
        <w:jc w:val="both"/>
        <w:rPr>
          <w:lang w:val="en-GB"/>
        </w:rPr>
      </w:pPr>
    </w:p>
    <w:p w:rsidR="000F7BEF" w:rsidRPr="00E12DA3" w:rsidRDefault="00F62819" w:rsidP="00E12DA3">
      <w:pPr>
        <w:pStyle w:val="ListParagraph"/>
        <w:numPr>
          <w:ilvl w:val="0"/>
          <w:numId w:val="12"/>
        </w:numPr>
        <w:jc w:val="both"/>
        <w:rPr>
          <w:lang w:val="en-GB"/>
        </w:rPr>
      </w:pPr>
      <w:r w:rsidRPr="00CF4C0E">
        <w:rPr>
          <w:lang w:val="en-GB"/>
        </w:rPr>
        <w:t xml:space="preserve">At </w:t>
      </w:r>
      <w:r w:rsidR="00CD7BC0" w:rsidRPr="00CF4C0E">
        <w:rPr>
          <w:lang w:val="en-GB"/>
        </w:rPr>
        <w:t xml:space="preserve">the </w:t>
      </w:r>
      <w:r w:rsidRPr="00CF4C0E">
        <w:rPr>
          <w:lang w:val="en-GB"/>
        </w:rPr>
        <w:t xml:space="preserve">Panel’s request, on </w:t>
      </w:r>
      <w:r w:rsidR="000070FF" w:rsidRPr="00CF4C0E">
        <w:rPr>
          <w:lang w:val="en-GB"/>
        </w:rPr>
        <w:t>2 March 2012</w:t>
      </w:r>
      <w:r w:rsidR="002D4ED0" w:rsidRPr="00CF4C0E">
        <w:rPr>
          <w:lang w:val="en-GB"/>
        </w:rPr>
        <w:t>,</w:t>
      </w:r>
      <w:r w:rsidR="00CB0C30" w:rsidRPr="00CF4C0E">
        <w:rPr>
          <w:lang w:val="en-GB"/>
        </w:rPr>
        <w:t xml:space="preserve"> </w:t>
      </w:r>
      <w:r w:rsidRPr="00CF4C0E">
        <w:rPr>
          <w:lang w:val="en-GB"/>
        </w:rPr>
        <w:t xml:space="preserve">the </w:t>
      </w:r>
      <w:r w:rsidRPr="00CF4C0E">
        <w:rPr>
          <w:bCs/>
          <w:lang w:val="en-GB"/>
        </w:rPr>
        <w:t>SRSG</w:t>
      </w:r>
      <w:r w:rsidRPr="00CF4C0E">
        <w:rPr>
          <w:lang w:val="en-GB"/>
        </w:rPr>
        <w:t xml:space="preserve"> provided copies of the documents related to this investigation, which UNMIK was able to recover. </w:t>
      </w:r>
      <w:r w:rsidRPr="00CF4C0E">
        <w:t xml:space="preserve">The </w:t>
      </w:r>
      <w:r w:rsidRPr="00CF4C0E">
        <w:rPr>
          <w:lang w:val="en-GB"/>
        </w:rPr>
        <w:t>SRSG</w:t>
      </w:r>
      <w:r w:rsidR="004D13F9" w:rsidRPr="00CF4C0E">
        <w:t xml:space="preserve"> also suggested</w:t>
      </w:r>
      <w:r w:rsidRPr="00CF4C0E">
        <w:t xml:space="preserve"> </w:t>
      </w:r>
      <w:r w:rsidR="005E4D0E" w:rsidRPr="00CF4C0E">
        <w:t>(see §</w:t>
      </w:r>
      <w:r w:rsidR="003A521C" w:rsidRPr="00CF4C0E">
        <w:t>§</w:t>
      </w:r>
      <w:r w:rsidR="005E4D0E" w:rsidRPr="00CF4C0E">
        <w:t xml:space="preserve"> </w:t>
      </w:r>
      <w:r w:rsidR="003A521C" w:rsidRPr="00CF4C0E">
        <w:t>45 and 57-58</w:t>
      </w:r>
      <w:r w:rsidR="005E4D0E" w:rsidRPr="00CF4C0E">
        <w:t xml:space="preserve"> above) </w:t>
      </w:r>
      <w:r w:rsidRPr="00CF4C0E">
        <w:t>that there is a possibility</w:t>
      </w:r>
      <w:r w:rsidR="00984027" w:rsidRPr="00CF4C0E">
        <w:t xml:space="preserve"> that</w:t>
      </w:r>
      <w:r w:rsidRPr="00CF4C0E">
        <w:t xml:space="preserve"> </w:t>
      </w:r>
      <w:r w:rsidR="00CB0C30" w:rsidRPr="00CF4C0E">
        <w:t xml:space="preserve">more </w:t>
      </w:r>
      <w:r w:rsidRPr="00CF4C0E">
        <w:t>information</w:t>
      </w:r>
      <w:r w:rsidR="00927FFE" w:rsidRPr="00CF4C0E">
        <w:t>, not contained in the provided</w:t>
      </w:r>
      <w:r w:rsidR="00CB0C30" w:rsidRPr="00CF4C0E">
        <w:t xml:space="preserve"> documents, </w:t>
      </w:r>
      <w:r w:rsidRPr="00CF4C0E">
        <w:t xml:space="preserve">exists, </w:t>
      </w:r>
      <w:r w:rsidR="00927FFE" w:rsidRPr="00CF4C0E">
        <w:t>but gave</w:t>
      </w:r>
      <w:r w:rsidR="00CB0C30" w:rsidRPr="00CF4C0E">
        <w:t xml:space="preserve"> no</w:t>
      </w:r>
      <w:r w:rsidRPr="00CF4C0E">
        <w:t xml:space="preserve"> further details.</w:t>
      </w:r>
      <w:r w:rsidRPr="00CF4C0E">
        <w:rPr>
          <w:lang w:val="en-GB"/>
        </w:rPr>
        <w:t xml:space="preserve"> </w:t>
      </w:r>
      <w:r w:rsidR="00065134" w:rsidRPr="00CF4C0E">
        <w:rPr>
          <w:lang w:val="en-GB"/>
        </w:rPr>
        <w:t>However, on</w:t>
      </w:r>
      <w:r w:rsidR="00F34C09" w:rsidRPr="00CF4C0E">
        <w:t xml:space="preserve"> </w:t>
      </w:r>
      <w:r w:rsidR="00065134" w:rsidRPr="00CF4C0E">
        <w:rPr>
          <w:lang w:val="en-GB"/>
        </w:rPr>
        <w:t>6</w:t>
      </w:r>
      <w:r w:rsidR="000070FF" w:rsidRPr="00CF4C0E">
        <w:rPr>
          <w:lang w:val="en-GB"/>
        </w:rPr>
        <w:t xml:space="preserve"> October</w:t>
      </w:r>
      <w:r w:rsidR="004D13F9" w:rsidRPr="00CF4C0E">
        <w:rPr>
          <w:lang w:val="en-GB"/>
        </w:rPr>
        <w:t xml:space="preserve"> 2014</w:t>
      </w:r>
      <w:r w:rsidRPr="00CF4C0E">
        <w:t>, UNMIK confirmed to the Panel that no more files have been located, thus the disclosure may be considered complete</w:t>
      </w:r>
      <w:r w:rsidR="00CB0C30" w:rsidRPr="00CF4C0E">
        <w:t xml:space="preserve"> (see § </w:t>
      </w:r>
      <w:r w:rsidR="005E4D0E" w:rsidRPr="00CF4C0E">
        <w:t>8</w:t>
      </w:r>
      <w:r w:rsidR="00CB0C30" w:rsidRPr="00CF4C0E">
        <w:t xml:space="preserve"> above)</w:t>
      </w:r>
      <w:bookmarkEnd w:id="21"/>
      <w:r w:rsidR="005E4D0E" w:rsidRPr="00CF4C0E">
        <w:t>.</w:t>
      </w:r>
    </w:p>
    <w:p w:rsidR="000F7BEF" w:rsidRPr="000F7BEF" w:rsidRDefault="000F7BEF" w:rsidP="000F7BEF">
      <w:pPr>
        <w:pStyle w:val="ListParagraph"/>
        <w:ind w:left="360"/>
        <w:jc w:val="both"/>
        <w:rPr>
          <w:lang w:val="en-GB"/>
        </w:rPr>
      </w:pPr>
    </w:p>
    <w:p w:rsidR="00984027" w:rsidRPr="00984027" w:rsidRDefault="00F62819" w:rsidP="00984027">
      <w:pPr>
        <w:pStyle w:val="ListParagraph"/>
        <w:numPr>
          <w:ilvl w:val="0"/>
          <w:numId w:val="12"/>
        </w:numPr>
        <w:jc w:val="both"/>
        <w:rPr>
          <w:lang w:val="en-GB"/>
        </w:rPr>
      </w:pPr>
      <w:r w:rsidRPr="000F7BEF">
        <w:rPr>
          <w:lang w:val="en-GB"/>
        </w:rPr>
        <w:t xml:space="preserve">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 The Panel in this regard refers to the case-law of the European Court of Human Rights that inferences shall be drawn from the </w:t>
      </w:r>
      <w:r w:rsidRPr="000F7BEF">
        <w:rPr>
          <w:lang w:val="en-GB"/>
        </w:rPr>
        <w:lastRenderedPageBreak/>
        <w:t xml:space="preserve">conduct of the respondent party during the proceedings, including from its failure “to submit information in their hands without a satisfactory explanation” (see ECtHR, </w:t>
      </w:r>
      <w:proofErr w:type="spellStart"/>
      <w:r w:rsidRPr="000F7BEF">
        <w:rPr>
          <w:i/>
          <w:lang w:val="en-GB"/>
        </w:rPr>
        <w:t>Çelikbilek</w:t>
      </w:r>
      <w:proofErr w:type="spellEnd"/>
      <w:r w:rsidRPr="000F7BEF">
        <w:rPr>
          <w:i/>
          <w:lang w:val="en-GB"/>
        </w:rPr>
        <w:t xml:space="preserve"> v. Turkey</w:t>
      </w:r>
      <w:r w:rsidRPr="000F7BEF">
        <w:rPr>
          <w:lang w:val="en-GB"/>
        </w:rPr>
        <w:t xml:space="preserve">, </w:t>
      </w:r>
      <w:r w:rsidRPr="000F7BEF">
        <w:rPr>
          <w:lang w:val="en-GB" w:eastAsia="nl-BE"/>
        </w:rPr>
        <w:t>no. 27693/95, judgment of 31 May 2005</w:t>
      </w:r>
      <w:r w:rsidRPr="000F7BEF">
        <w:rPr>
          <w:i/>
          <w:iCs/>
          <w:lang w:val="en-GB" w:eastAsia="nl-BE"/>
        </w:rPr>
        <w:t>,</w:t>
      </w:r>
      <w:r w:rsidRPr="000F7BEF">
        <w:rPr>
          <w:iCs/>
          <w:lang w:val="en-GB" w:eastAsia="nl-BE"/>
        </w:rPr>
        <w:t xml:space="preserve"> § 56).</w:t>
      </w:r>
      <w:r w:rsidRPr="000F7BEF">
        <w:rPr>
          <w:rFonts w:ascii="Helv" w:hAnsi="Helv" w:cs="Helv"/>
          <w:sz w:val="20"/>
          <w:szCs w:val="20"/>
          <w:lang w:val="en-GB" w:eastAsia="nl-BE"/>
        </w:rPr>
        <w:t xml:space="preserve"> </w:t>
      </w:r>
      <w:bookmarkStart w:id="22" w:name="_Ref395186594"/>
    </w:p>
    <w:p w:rsidR="00984027" w:rsidRPr="00984027" w:rsidRDefault="00984027" w:rsidP="00984027">
      <w:pPr>
        <w:pStyle w:val="ListParagraph"/>
        <w:rPr>
          <w:lang w:val="en-GB"/>
        </w:rPr>
      </w:pPr>
    </w:p>
    <w:p w:rsidR="00984027" w:rsidRDefault="00984027" w:rsidP="00984027">
      <w:pPr>
        <w:pStyle w:val="ListParagraph"/>
        <w:numPr>
          <w:ilvl w:val="0"/>
          <w:numId w:val="12"/>
        </w:numPr>
        <w:jc w:val="both"/>
        <w:rPr>
          <w:lang w:val="en-GB"/>
        </w:rPr>
      </w:pPr>
      <w:r w:rsidRPr="00984027">
        <w:rPr>
          <w:lang w:val="en-GB"/>
        </w:rPr>
        <w:t xml:space="preserve">The Panel also notes that the proper maintenance of investigative files concerning crimes such as </w:t>
      </w:r>
      <w:r w:rsidRPr="00984027">
        <w:t>killings</w:t>
      </w:r>
      <w:r w:rsidRPr="00984027">
        <w:rPr>
          <w:lang w:val="en-GB"/>
        </w:rPr>
        <w:t xml:space="preserve"> and disappearances, from the opening of the investigations until their completion, including the proper record of all handovers, which may have taken place, is crucial to the </w:t>
      </w:r>
      <w:r w:rsidRPr="00984027">
        <w:t>continuation</w:t>
      </w:r>
      <w:r w:rsidRPr="00984027">
        <w:rPr>
          <w:lang w:val="en-GB"/>
        </w:rPr>
        <w:t xml:space="preserve"> of such investigations and failure to do so could thus raise </w:t>
      </w:r>
      <w:r w:rsidRPr="00984027">
        <w:rPr>
          <w:i/>
          <w:lang w:val="en-GB"/>
        </w:rPr>
        <w:t>per se</w:t>
      </w:r>
      <w:r w:rsidRPr="00984027">
        <w:rPr>
          <w:lang w:val="en-GB"/>
        </w:rPr>
        <w:t xml:space="preserve"> issues under Article 2. The Panel has no reason to doubt that UNMIK undertook all efforts in order to obtain the relevant investigative files. However, the Panel notes that UNMIK has not provided any explanation as to why the documentation may be incomplete, nor with respect to which parts.</w:t>
      </w:r>
      <w:bookmarkEnd w:id="22"/>
    </w:p>
    <w:p w:rsidR="00984027" w:rsidRPr="00984027" w:rsidRDefault="00984027" w:rsidP="00984027">
      <w:pPr>
        <w:pStyle w:val="ListParagraph"/>
        <w:rPr>
          <w:lang w:val="en-GB"/>
        </w:rPr>
      </w:pPr>
    </w:p>
    <w:p w:rsidR="00984027" w:rsidRPr="00984027" w:rsidRDefault="00984027" w:rsidP="00984027">
      <w:pPr>
        <w:pStyle w:val="ListParagraph"/>
        <w:numPr>
          <w:ilvl w:val="0"/>
          <w:numId w:val="12"/>
        </w:numPr>
        <w:jc w:val="both"/>
        <w:rPr>
          <w:lang w:val="en-GB"/>
        </w:rPr>
      </w:pPr>
      <w:r w:rsidRPr="00984027">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proofErr w:type="spellStart"/>
      <w:r w:rsidRPr="00984027">
        <w:rPr>
          <w:i/>
          <w:lang w:val="en-GB"/>
        </w:rPr>
        <w:t>Tsechoyev</w:t>
      </w:r>
      <w:proofErr w:type="spellEnd"/>
      <w:r w:rsidRPr="00984027">
        <w:rPr>
          <w:i/>
          <w:lang w:val="en-GB"/>
        </w:rPr>
        <w:t xml:space="preserve"> v. Russia</w:t>
      </w:r>
      <w:r w:rsidRPr="00984027">
        <w:rPr>
          <w:lang w:val="en-GB"/>
        </w:rPr>
        <w:t xml:space="preserve">, no. 39358/05, judgment of 15 March 2011, § 146).  </w:t>
      </w:r>
    </w:p>
    <w:p w:rsidR="00046EBD" w:rsidRPr="000507C8" w:rsidRDefault="00046EBD" w:rsidP="000507C8">
      <w:pPr>
        <w:jc w:val="both"/>
        <w:rPr>
          <w:lang w:val="en-GB"/>
        </w:rPr>
      </w:pPr>
      <w:bookmarkStart w:id="23" w:name="_Ref366241114"/>
    </w:p>
    <w:p w:rsidR="00046EBD" w:rsidRPr="001F7985" w:rsidRDefault="00046EBD" w:rsidP="00046EBD">
      <w:pPr>
        <w:pStyle w:val="ListParagraph"/>
        <w:numPr>
          <w:ilvl w:val="0"/>
          <w:numId w:val="7"/>
        </w:numPr>
        <w:contextualSpacing/>
        <w:jc w:val="both"/>
        <w:rPr>
          <w:i/>
          <w:lang w:val="en-GB"/>
        </w:rPr>
      </w:pPr>
      <w:r w:rsidRPr="001F7985">
        <w:rPr>
          <w:i/>
          <w:lang w:val="en-GB" w:eastAsia="en-US"/>
        </w:rPr>
        <w:t>General</w:t>
      </w:r>
      <w:r w:rsidRPr="001F7985">
        <w:rPr>
          <w:i/>
          <w:lang w:val="en-GB"/>
        </w:rPr>
        <w:t xml:space="preserve"> principles concerning the obligation to conduct an effective investigation under Article 2</w:t>
      </w:r>
    </w:p>
    <w:p w:rsidR="00046EBD" w:rsidRPr="00046EBD" w:rsidRDefault="00046EBD" w:rsidP="00046EBD">
      <w:pPr>
        <w:pStyle w:val="ListParagraph"/>
        <w:rPr>
          <w:lang w:val="en-GB"/>
        </w:rPr>
      </w:pPr>
    </w:p>
    <w:p w:rsidR="001D6E26" w:rsidRPr="00CF4C0E" w:rsidRDefault="001D6E26" w:rsidP="001D6E26">
      <w:pPr>
        <w:pStyle w:val="ListParagraph"/>
        <w:numPr>
          <w:ilvl w:val="0"/>
          <w:numId w:val="12"/>
        </w:numPr>
        <w:jc w:val="both"/>
        <w:rPr>
          <w:lang w:val="en-GB"/>
        </w:rPr>
      </w:pPr>
      <w:r w:rsidRPr="00CF4C0E">
        <w:rPr>
          <w:lang w:val="en-GB"/>
        </w:rPr>
        <w:t xml:space="preserve">First, the Panel considers that the limited content of the investigative files, in particular in the light of the SRSG’s argument that, for this reason, it is not possible to ascertain whether there was a failure by UNMIK to conduct an effective investigation into the case of Mr </w:t>
      </w:r>
      <w:proofErr w:type="spellStart"/>
      <w:r w:rsidRPr="00CF4C0E">
        <w:rPr>
          <w:lang w:val="en-GB"/>
        </w:rPr>
        <w:t>Mlađan</w:t>
      </w:r>
      <w:proofErr w:type="spellEnd"/>
      <w:r w:rsidRPr="00CF4C0E">
        <w:rPr>
          <w:lang w:val="en-GB"/>
        </w:rPr>
        <w:t xml:space="preserve"> </w:t>
      </w:r>
      <w:proofErr w:type="spellStart"/>
      <w:r w:rsidRPr="00CF4C0E">
        <w:rPr>
          <w:lang w:val="en-GB"/>
        </w:rPr>
        <w:t>Mavrić</w:t>
      </w:r>
      <w:proofErr w:type="spellEnd"/>
      <w:r w:rsidRPr="00CF4C0E">
        <w:rPr>
          <w:lang w:val="en-GB"/>
        </w:rPr>
        <w:t>, raises issues of the burden of proof. In this regard, the Panel refers to the approach of the European Court on Human Rights as well as of the United Nations Human Rights Committee (HRC) on the matter. The general rule is that it is for the party who asserts a proposition of fact to prove it, but that this is not a rigid rule.</w:t>
      </w:r>
    </w:p>
    <w:p w:rsidR="001D6E26" w:rsidRPr="001D6E26" w:rsidRDefault="001D6E26" w:rsidP="001D6E26">
      <w:pPr>
        <w:pStyle w:val="ListParagraph"/>
        <w:ind w:left="360"/>
        <w:jc w:val="both"/>
        <w:rPr>
          <w:lang w:val="en-GB"/>
        </w:rPr>
      </w:pPr>
    </w:p>
    <w:p w:rsidR="001D6E26" w:rsidRPr="001D6E26" w:rsidRDefault="001D6E26" w:rsidP="001D6E26">
      <w:pPr>
        <w:pStyle w:val="ListParagraph"/>
        <w:numPr>
          <w:ilvl w:val="0"/>
          <w:numId w:val="12"/>
        </w:numPr>
        <w:jc w:val="both"/>
        <w:rPr>
          <w:lang w:val="en-GB"/>
        </w:rPr>
      </w:pPr>
      <w:r w:rsidRPr="001D6E26">
        <w:rPr>
          <w:lang w:val="en-GB"/>
        </w:rPr>
        <w:t xml:space="preserve">Following this general rule, at the admissibility stage an applicant must present facts, which are supportive of the allegations of the State’s responsibility, that is, to establish a prima facie case against the authorities (see, </w:t>
      </w:r>
      <w:r w:rsidRPr="00250376">
        <w:rPr>
          <w:i/>
          <w:lang w:val="en-GB"/>
        </w:rPr>
        <w:t>mutatis mutandis</w:t>
      </w:r>
      <w:r w:rsidRPr="001D6E26">
        <w:rPr>
          <w:lang w:val="en-GB"/>
        </w:rPr>
        <w:t xml:space="preserve">, </w:t>
      </w:r>
      <w:r w:rsidRPr="00250376">
        <w:rPr>
          <w:lang w:val="en-GB"/>
        </w:rPr>
        <w:t>ECtHR</w:t>
      </w:r>
      <w:r w:rsidRPr="001D6E26">
        <w:rPr>
          <w:i/>
          <w:lang w:val="en-GB"/>
        </w:rPr>
        <w:t>, Artico v. Italy</w:t>
      </w:r>
      <w:r w:rsidRPr="001D6E26">
        <w:rPr>
          <w:lang w:val="en-GB"/>
        </w:rPr>
        <w:t xml:space="preserve">, no. 6694/74, judgment of 13 May 1980, §§ 29-30, Series A no. 37; </w:t>
      </w:r>
      <w:r w:rsidRPr="00250376">
        <w:rPr>
          <w:lang w:val="en-GB"/>
        </w:rPr>
        <w:t>ECtHR</w:t>
      </w:r>
      <w:r w:rsidRPr="001D6E26">
        <w:rPr>
          <w:i/>
          <w:lang w:val="en-GB"/>
        </w:rPr>
        <w:t>, Toğcu v. Turkey</w:t>
      </w:r>
      <w:r w:rsidRPr="001D6E26">
        <w:rPr>
          <w:lang w:val="en-GB"/>
        </w:rPr>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ECtHR [GC], </w:t>
      </w:r>
      <w:r w:rsidRPr="001D6E26">
        <w:rPr>
          <w:i/>
          <w:lang w:val="en-GB"/>
        </w:rPr>
        <w:t>Varnava and Others v Turkey</w:t>
      </w:r>
      <w:r w:rsidR="003A521C">
        <w:rPr>
          <w:lang w:val="en-GB"/>
        </w:rPr>
        <w:t>, cited above in § 43</w:t>
      </w:r>
      <w:r w:rsidRPr="001D6E26">
        <w:rPr>
          <w:lang w:val="en-GB"/>
        </w:rPr>
        <w:t>, at §§ 183-184).</w:t>
      </w:r>
    </w:p>
    <w:p w:rsidR="001D6E26" w:rsidRPr="001D6E26" w:rsidRDefault="001D6E26" w:rsidP="001D6E26">
      <w:pPr>
        <w:pStyle w:val="ListParagraph"/>
        <w:ind w:left="360"/>
        <w:jc w:val="both"/>
        <w:rPr>
          <w:lang w:val="en-GB"/>
        </w:rPr>
      </w:pPr>
    </w:p>
    <w:p w:rsidR="001D6E26" w:rsidRPr="001D6E26" w:rsidRDefault="001D6E26" w:rsidP="001D6E26">
      <w:pPr>
        <w:pStyle w:val="ListParagraph"/>
        <w:numPr>
          <w:ilvl w:val="0"/>
          <w:numId w:val="12"/>
        </w:numPr>
        <w:jc w:val="both"/>
        <w:rPr>
          <w:lang w:val="en-GB"/>
        </w:rPr>
      </w:pPr>
      <w:r w:rsidRPr="001D6E26">
        <w:rPr>
          <w:lang w:val="en-GB"/>
        </w:rPr>
        <w:t xml:space="preserve">The European Court also states that “... 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ECtHR, </w:t>
      </w:r>
      <w:r w:rsidRPr="001D6E26">
        <w:rPr>
          <w:i/>
          <w:lang w:val="en-GB"/>
        </w:rPr>
        <w:t>Akkum and Others v. Turkey</w:t>
      </w:r>
      <w:r w:rsidRPr="001D6E26">
        <w:rPr>
          <w:lang w:val="en-GB"/>
        </w:rPr>
        <w:t xml:space="preserve">, no. 21894/93, judgment of 24 June 2005, § 211, ECHR 2005-II (extracts)). The Court adds that “… [i]f they [the authorities] then fail to disclose crucial documents to enable the Court to establish the facts or otherwise </w:t>
      </w:r>
      <w:r w:rsidRPr="001D6E26">
        <w:rPr>
          <w:lang w:val="en-GB"/>
        </w:rPr>
        <w:lastRenderedPageBreak/>
        <w:t xml:space="preserve">provide a satisfactory and convincing explanation, strong inferences may be drawn” (see ECtHR, </w:t>
      </w:r>
      <w:r w:rsidRPr="001D6E26">
        <w:rPr>
          <w:i/>
          <w:lang w:val="en-GB"/>
        </w:rPr>
        <w:t>Varnava and Others v Turkey</w:t>
      </w:r>
      <w:r w:rsidRPr="001D6E26">
        <w:rPr>
          <w:lang w:val="en-GB"/>
        </w:rPr>
        <w:t xml:space="preserve"> [GC], cited above in § 56, at § 184; see also, HRC, Benaniza v Algeria, Views of 26 July 2010, § 9.4, CCPR/C/99/D/1588/2007; HRC, </w:t>
      </w:r>
      <w:r w:rsidRPr="001D6E26">
        <w:rPr>
          <w:i/>
          <w:lang w:val="en-GB"/>
        </w:rPr>
        <w:t>Bashasha v. Libyan Arab Jamahiriya</w:t>
      </w:r>
      <w:r w:rsidRPr="001D6E26">
        <w:rPr>
          <w:lang w:val="en-GB"/>
        </w:rPr>
        <w:t>, Views of 20 October 2010, § 7.2, CCPR/C/100/D/1776/2008).</w:t>
      </w:r>
    </w:p>
    <w:p w:rsidR="001D6E26" w:rsidRPr="001D6E26" w:rsidRDefault="001D6E26" w:rsidP="001D6E26">
      <w:pPr>
        <w:pStyle w:val="ListParagraph"/>
        <w:ind w:left="360"/>
        <w:jc w:val="both"/>
        <w:rPr>
          <w:lang w:val="en-GB"/>
        </w:rPr>
      </w:pPr>
    </w:p>
    <w:p w:rsidR="000070FF" w:rsidRDefault="001D6E26" w:rsidP="001D6E26">
      <w:pPr>
        <w:pStyle w:val="ListParagraph"/>
        <w:numPr>
          <w:ilvl w:val="0"/>
          <w:numId w:val="12"/>
        </w:numPr>
        <w:jc w:val="both"/>
        <w:rPr>
          <w:lang w:val="en-GB"/>
        </w:rPr>
      </w:pPr>
      <w:r w:rsidRPr="001D6E26">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“strong inferences” may be drawn from lack of documentation is applicable.</w:t>
      </w:r>
    </w:p>
    <w:p w:rsidR="001D6E26" w:rsidRPr="001D6E26" w:rsidRDefault="001D6E26" w:rsidP="001D6E26">
      <w:pPr>
        <w:pStyle w:val="ListParagraph"/>
        <w:rPr>
          <w:lang w:val="en-GB"/>
        </w:rPr>
      </w:pPr>
    </w:p>
    <w:p w:rsidR="001D6E26" w:rsidRPr="001D6E26" w:rsidRDefault="001D6E26" w:rsidP="001D6E26">
      <w:pPr>
        <w:pStyle w:val="ListParagraph"/>
        <w:widowControl w:val="0"/>
        <w:numPr>
          <w:ilvl w:val="0"/>
          <w:numId w:val="12"/>
        </w:numPr>
        <w:tabs>
          <w:tab w:val="left" w:pos="1080"/>
        </w:tabs>
        <w:autoSpaceDE w:val="0"/>
        <w:jc w:val="both"/>
        <w:rPr>
          <w:lang w:val="en-GB"/>
        </w:rPr>
      </w:pPr>
      <w:r>
        <w:rPr>
          <w:lang w:val="en-GB"/>
        </w:rPr>
        <w:t>Secondly, t</w:t>
      </w:r>
      <w:r w:rsidRPr="00424947">
        <w:rPr>
          <w:lang w:val="en-GB"/>
        </w:rPr>
        <w:t xml:space="preserve">he Panel notes that the positive obligation to investigate disappearances is widely accepted in international human rights law since at least the case of the Inter-American Court of Human Rights (IACtHR) </w:t>
      </w:r>
      <w:r w:rsidRPr="00424947">
        <w:rPr>
          <w:i/>
          <w:lang w:val="en-GB"/>
        </w:rPr>
        <w:t>Velásquez-Rodríguez</w:t>
      </w:r>
      <w:r w:rsidRPr="00424947">
        <w:rPr>
          <w:lang w:val="en-GB"/>
        </w:rPr>
        <w:t xml:space="preserve"> (see IACtHR, </w:t>
      </w:r>
      <w:r w:rsidRPr="00424947">
        <w:rPr>
          <w:i/>
          <w:lang w:val="en-GB"/>
        </w:rPr>
        <w:t>Velásquez-Rodríguez v. Honduras</w:t>
      </w:r>
      <w:r w:rsidRPr="00424947">
        <w:rPr>
          <w:lang w:val="en-GB"/>
        </w:rPr>
        <w:t>, judgment of 29 July 1988, Series C No. 4). The positive obligation has</w:t>
      </w:r>
      <w:r w:rsidR="00CF4C0E">
        <w:rPr>
          <w:lang w:val="en-GB"/>
        </w:rPr>
        <w:t xml:space="preserve"> also been stated by the HRC</w:t>
      </w:r>
      <w:r w:rsidRPr="00424947">
        <w:rPr>
          <w:lang w:val="en-GB"/>
        </w:rPr>
        <w:t xml:space="preserve">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424947">
        <w:rPr>
          <w:i/>
          <w:lang w:val="en-GB"/>
        </w:rPr>
        <w:t>Mohamed El Awani, v. Libyan Arab Jamahiriya</w:t>
      </w:r>
      <w:r w:rsidRPr="00424947">
        <w:rPr>
          <w:lang w:val="en-GB"/>
        </w:rPr>
        <w:t>, communication no. 1295/2004, views of 11 July 2007, CCPR/C/90/D/1295/2004). The obligation to investigate disappearances and killings is also asserted in the UN Declaration on the Protection of all Persons from Enforced Disappearances (</w:t>
      </w:r>
      <w:r w:rsidRPr="00424947">
        <w:t xml:space="preserve">UN Document </w:t>
      </w:r>
      <w:r w:rsidRPr="00424947">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p>
    <w:p w:rsidR="00046EBD" w:rsidRDefault="00046EBD" w:rsidP="00046EBD">
      <w:pPr>
        <w:pStyle w:val="ListParagraph"/>
        <w:ind w:left="360"/>
        <w:jc w:val="both"/>
        <w:rPr>
          <w:lang w:val="en-GB"/>
        </w:rPr>
      </w:pPr>
      <w:bookmarkStart w:id="24" w:name="_Ref347561805"/>
      <w:bookmarkStart w:id="25" w:name="_Ref366239860"/>
      <w:bookmarkEnd w:id="23"/>
    </w:p>
    <w:p w:rsidR="00046EBD" w:rsidRPr="003D7560" w:rsidRDefault="008E3F48" w:rsidP="00046EBD">
      <w:pPr>
        <w:pStyle w:val="ListParagraph"/>
        <w:numPr>
          <w:ilvl w:val="0"/>
          <w:numId w:val="12"/>
        </w:numPr>
        <w:jc w:val="both"/>
        <w:rPr>
          <w:lang w:val="en-GB"/>
        </w:rPr>
      </w:pPr>
      <w:r w:rsidRPr="00046EBD">
        <w:rPr>
          <w:lang w:val="en-GB"/>
        </w:rPr>
        <w:t>In order to address the complainant’s allegations, the Panel refers to the well-established case-law of the European Court o</w:t>
      </w:r>
      <w:r w:rsidR="007F14FA" w:rsidRPr="00046EBD">
        <w:rPr>
          <w:lang w:val="en-GB"/>
        </w:rPr>
        <w:t>f</w:t>
      </w:r>
      <w:r w:rsidRPr="00046EBD">
        <w:rPr>
          <w:lang w:val="en-GB"/>
        </w:rPr>
        <w:t xml:space="preserve">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046EBD">
        <w:rPr>
          <w:i/>
          <w:lang w:val="en-GB"/>
        </w:rPr>
        <w:t>mutatis mutandis</w:t>
      </w:r>
      <w:r w:rsidRPr="00046EBD">
        <w:rPr>
          <w:lang w:val="en-GB"/>
        </w:rPr>
        <w:t xml:space="preserve">, ECtHR, </w:t>
      </w:r>
      <w:r w:rsidRPr="00046EBD">
        <w:rPr>
          <w:i/>
          <w:lang w:val="en-GB"/>
        </w:rPr>
        <w:t>McCann and Others v. the United Kingdom</w:t>
      </w:r>
      <w:r w:rsidRPr="00046EBD">
        <w:rPr>
          <w:lang w:val="en-GB"/>
        </w:rPr>
        <w:t xml:space="preserve">, judgment of 27 September 1995, § 161, Series A no. 324; and ECtHR, </w:t>
      </w:r>
      <w:r w:rsidRPr="00046EBD">
        <w:rPr>
          <w:i/>
          <w:lang w:val="en-GB"/>
        </w:rPr>
        <w:t>Kaya v. Turkey</w:t>
      </w:r>
      <w:r w:rsidRPr="00046EBD">
        <w:rPr>
          <w:lang w:val="en-GB"/>
        </w:rPr>
        <w:t xml:space="preserve">, judgment of 19 February 1998, § </w:t>
      </w:r>
      <w:r w:rsidR="002C656A" w:rsidRPr="00046EBD">
        <w:rPr>
          <w:lang w:val="en-GB"/>
        </w:rPr>
        <w:t>86</w:t>
      </w:r>
      <w:r w:rsidRPr="00046EBD">
        <w:rPr>
          <w:lang w:val="en-GB"/>
        </w:rPr>
        <w:t xml:space="preserve">, Reports 1998-I; see also </w:t>
      </w:r>
      <w:r w:rsidRPr="003D7560">
        <w:rPr>
          <w:lang w:val="en-GB"/>
        </w:rPr>
        <w:t xml:space="preserve">ECtHR, </w:t>
      </w:r>
      <w:proofErr w:type="spellStart"/>
      <w:r w:rsidRPr="003D7560">
        <w:rPr>
          <w:i/>
          <w:lang w:val="en-GB"/>
        </w:rPr>
        <w:t>Jasinskis</w:t>
      </w:r>
      <w:proofErr w:type="spellEnd"/>
      <w:r w:rsidRPr="003D7560">
        <w:rPr>
          <w:i/>
          <w:lang w:val="en-GB"/>
        </w:rPr>
        <w:t xml:space="preserve"> v. Latvia</w:t>
      </w:r>
      <w:r w:rsidRPr="003D7560">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proofErr w:type="spellStart"/>
      <w:r w:rsidRPr="003D7560">
        <w:rPr>
          <w:i/>
          <w:lang w:val="en-GB"/>
        </w:rPr>
        <w:t>Kolevi</w:t>
      </w:r>
      <w:proofErr w:type="spellEnd"/>
      <w:r w:rsidRPr="003D7560">
        <w:rPr>
          <w:i/>
          <w:lang w:val="en-GB"/>
        </w:rPr>
        <w:t xml:space="preserve"> v. Bulgaria</w:t>
      </w:r>
      <w:r w:rsidRPr="003D7560">
        <w:rPr>
          <w:lang w:val="en-GB"/>
        </w:rPr>
        <w:t>, no. 1108/02, judgment of 5 November 2009, § 191).</w:t>
      </w:r>
      <w:bookmarkEnd w:id="24"/>
      <w:bookmarkEnd w:id="25"/>
    </w:p>
    <w:p w:rsidR="00046EBD" w:rsidRPr="003D7560" w:rsidRDefault="00046EBD" w:rsidP="00046EBD">
      <w:pPr>
        <w:pStyle w:val="ListParagraph"/>
        <w:ind w:left="360"/>
        <w:jc w:val="both"/>
        <w:rPr>
          <w:lang w:val="en-GB"/>
        </w:rPr>
      </w:pPr>
    </w:p>
    <w:p w:rsidR="00046EBD" w:rsidRPr="00F65614" w:rsidRDefault="008E3F48" w:rsidP="00046EBD">
      <w:pPr>
        <w:pStyle w:val="ListParagraph"/>
        <w:numPr>
          <w:ilvl w:val="0"/>
          <w:numId w:val="12"/>
        </w:numPr>
        <w:jc w:val="both"/>
        <w:rPr>
          <w:lang w:val="en-GB"/>
        </w:rPr>
      </w:pPr>
      <w:r w:rsidRPr="003D7560">
        <w:rPr>
          <w:lang w:val="en-GB"/>
        </w:rPr>
        <w:lastRenderedPageBreak/>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w:t>
      </w:r>
      <w:r w:rsidRPr="00F65614">
        <w:rPr>
          <w:lang w:val="en-GB"/>
        </w:rPr>
        <w:t xml:space="preserve">agent of the State (see ECtHR [GC], </w:t>
      </w:r>
      <w:r w:rsidRPr="00F65614">
        <w:rPr>
          <w:i/>
          <w:lang w:val="en-GB"/>
        </w:rPr>
        <w:t>Varnava and Others v. Turkey</w:t>
      </w:r>
      <w:r w:rsidRPr="00F65614">
        <w:rPr>
          <w:lang w:val="en-GB"/>
        </w:rPr>
        <w:t xml:space="preserve">, cited in § </w:t>
      </w:r>
      <w:r w:rsidR="003A521C" w:rsidRPr="00F65614">
        <w:t>43</w:t>
      </w:r>
      <w:r w:rsidR="003E64E0" w:rsidRPr="00F65614">
        <w:rPr>
          <w:lang w:val="en-GB"/>
        </w:rPr>
        <w:t xml:space="preserve"> </w:t>
      </w:r>
      <w:r w:rsidRPr="00F65614">
        <w:rPr>
          <w:lang w:val="en-GB"/>
        </w:rPr>
        <w:t>above, at § 136</w:t>
      </w:r>
      <w:r w:rsidR="00250376" w:rsidRPr="00F65614">
        <w:rPr>
          <w:lang w:val="en-GB"/>
        </w:rPr>
        <w:t xml:space="preserve">; ECtHR [GC], </w:t>
      </w:r>
      <w:r w:rsidR="00250376" w:rsidRPr="00F65614">
        <w:rPr>
          <w:i/>
          <w:lang w:val="en-GB"/>
        </w:rPr>
        <w:t>Mocanu and Others v. Romania</w:t>
      </w:r>
      <w:r w:rsidR="00250376" w:rsidRPr="00F65614">
        <w:rPr>
          <w:lang w:val="en-GB"/>
        </w:rPr>
        <w:t>, nos 10865/09, 45886/07 and 32431/08, judgment of 17 September 2014, § 317</w:t>
      </w:r>
      <w:r w:rsidRPr="00F65614">
        <w:rPr>
          <w:lang w:val="en-GB"/>
        </w:rPr>
        <w:t>).</w:t>
      </w:r>
      <w:bookmarkStart w:id="26" w:name="_Ref366240125"/>
    </w:p>
    <w:p w:rsidR="00046EBD" w:rsidRPr="00F65614" w:rsidRDefault="00046EBD" w:rsidP="00046EBD">
      <w:pPr>
        <w:pStyle w:val="ListParagraph"/>
        <w:rPr>
          <w:lang w:val="en-GB"/>
        </w:rPr>
      </w:pPr>
    </w:p>
    <w:p w:rsidR="00046EBD" w:rsidRPr="00F65614" w:rsidRDefault="008E3F48" w:rsidP="00046EBD">
      <w:pPr>
        <w:pStyle w:val="ListParagraph"/>
        <w:numPr>
          <w:ilvl w:val="0"/>
          <w:numId w:val="12"/>
        </w:numPr>
        <w:jc w:val="both"/>
        <w:rPr>
          <w:lang w:val="en-GB"/>
        </w:rPr>
      </w:pPr>
      <w:r w:rsidRPr="00F65614">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proofErr w:type="spellStart"/>
      <w:r w:rsidRPr="00F65614">
        <w:rPr>
          <w:i/>
          <w:lang w:val="en-GB"/>
        </w:rPr>
        <w:t>Ahmet</w:t>
      </w:r>
      <w:proofErr w:type="spellEnd"/>
      <w:r w:rsidRPr="00F65614">
        <w:rPr>
          <w:i/>
          <w:lang w:val="en-GB"/>
        </w:rPr>
        <w:t xml:space="preserve"> </w:t>
      </w:r>
      <w:proofErr w:type="spellStart"/>
      <w:r w:rsidRPr="00F65614">
        <w:rPr>
          <w:i/>
          <w:lang w:val="en-GB"/>
        </w:rPr>
        <w:t>Özkan</w:t>
      </w:r>
      <w:proofErr w:type="spellEnd"/>
      <w:r w:rsidRPr="00F65614">
        <w:rPr>
          <w:i/>
          <w:lang w:val="en-GB"/>
        </w:rPr>
        <w:t xml:space="preserve"> and Others v. Turkey</w:t>
      </w:r>
      <w:r w:rsidRPr="00F65614">
        <w:rPr>
          <w:lang w:val="en-GB"/>
        </w:rPr>
        <w:t xml:space="preserve">, no. 21689/93, judgment of 6 April 2004, § 310, see also ECtHR, </w:t>
      </w:r>
      <w:proofErr w:type="spellStart"/>
      <w:r w:rsidRPr="00F65614">
        <w:rPr>
          <w:i/>
          <w:lang w:val="en-GB"/>
        </w:rPr>
        <w:t>Isayeva</w:t>
      </w:r>
      <w:proofErr w:type="spellEnd"/>
      <w:r w:rsidRPr="00F65614">
        <w:rPr>
          <w:i/>
          <w:lang w:val="en-GB"/>
        </w:rPr>
        <w:t xml:space="preserve"> v. Russia</w:t>
      </w:r>
      <w:r w:rsidRPr="00F65614">
        <w:rPr>
          <w:lang w:val="en-GB"/>
        </w:rPr>
        <w:t>, no. 57950/00, judgment of 24 February 2005, § 210</w:t>
      </w:r>
      <w:r w:rsidR="00250376" w:rsidRPr="00F65614">
        <w:rPr>
          <w:lang w:val="en-GB"/>
        </w:rPr>
        <w:t xml:space="preserve">; ECtHR [GC], </w:t>
      </w:r>
      <w:r w:rsidR="00250376" w:rsidRPr="00F65614">
        <w:rPr>
          <w:i/>
          <w:lang w:val="en-GB"/>
        </w:rPr>
        <w:t>Mocanu and Others v. Romania</w:t>
      </w:r>
      <w:r w:rsidR="00250376" w:rsidRPr="00F65614">
        <w:rPr>
          <w:lang w:val="en-GB"/>
        </w:rPr>
        <w:t>, cited above § 321</w:t>
      </w:r>
      <w:r w:rsidRPr="00F65614">
        <w:rPr>
          <w:lang w:val="en-GB"/>
        </w:rPr>
        <w:t>).</w:t>
      </w:r>
      <w:bookmarkEnd w:id="26"/>
      <w:r w:rsidRPr="00F65614">
        <w:rPr>
          <w:lang w:val="en-GB"/>
        </w:rPr>
        <w:t xml:space="preserve"> </w:t>
      </w:r>
      <w:bookmarkStart w:id="27" w:name="_Ref346724174"/>
      <w:bookmarkStart w:id="28" w:name="_Ref366239979"/>
    </w:p>
    <w:p w:rsidR="00046EBD" w:rsidRPr="00F65614" w:rsidRDefault="00046EBD" w:rsidP="00046EBD">
      <w:pPr>
        <w:pStyle w:val="ListParagraph"/>
        <w:rPr>
          <w:lang w:val="en-GB"/>
        </w:rPr>
      </w:pPr>
    </w:p>
    <w:p w:rsidR="00046EBD" w:rsidRPr="003D7560" w:rsidRDefault="007F14FA" w:rsidP="00046EBD">
      <w:pPr>
        <w:pStyle w:val="ListParagraph"/>
        <w:numPr>
          <w:ilvl w:val="0"/>
          <w:numId w:val="12"/>
        </w:numPr>
        <w:jc w:val="both"/>
        <w:rPr>
          <w:lang w:val="en-GB"/>
        </w:rPr>
      </w:pPr>
      <w:r w:rsidRPr="00F65614">
        <w:rPr>
          <w:lang w:val="en-GB"/>
        </w:rPr>
        <w:t>Setting out the standards of an effective investigation, the Court has stated that “besides being independent, accessible to the victim’s family, carried out with reasonable promptness and expedition and affording a sufficient element of public scrutiny</w:t>
      </w:r>
      <w:r w:rsidRPr="00046EBD">
        <w:rPr>
          <w:lang w:val="en-GB"/>
        </w:rPr>
        <w:t xml:space="preserve"> of the investigation or its </w:t>
      </w:r>
      <w:r w:rsidRPr="003D7560">
        <w:rPr>
          <w:lang w:val="en-GB"/>
        </w:rPr>
        <w:t xml:space="preserve">results, the investigation must also be effective in the sense that it is capable of leading to a determination of whether the death was caused unlawfully and if so, to the identification and punishment of those responsible” </w:t>
      </w:r>
      <w:r w:rsidR="008E3F48" w:rsidRPr="003D7560">
        <w:rPr>
          <w:lang w:val="en-GB"/>
        </w:rPr>
        <w:t xml:space="preserve">(see ECtHR [GC], </w:t>
      </w:r>
      <w:r w:rsidR="008E3F48" w:rsidRPr="003D7560">
        <w:rPr>
          <w:i/>
          <w:lang w:val="en-GB"/>
        </w:rPr>
        <w:t xml:space="preserve">Varnava </w:t>
      </w:r>
      <w:r w:rsidR="008E3F48" w:rsidRPr="003A521C">
        <w:rPr>
          <w:i/>
          <w:lang w:val="en-GB"/>
        </w:rPr>
        <w:t>and Others v. Turkey</w:t>
      </w:r>
      <w:r w:rsidR="008E3F48" w:rsidRPr="003D7560">
        <w:rPr>
          <w:lang w:val="en-GB"/>
        </w:rPr>
        <w:t xml:space="preserve">, cited </w:t>
      </w:r>
      <w:r w:rsidR="00C46FD8" w:rsidRPr="003D7560">
        <w:rPr>
          <w:lang w:val="en-GB"/>
        </w:rPr>
        <w:t>in</w:t>
      </w:r>
      <w:r w:rsidR="003E64E0" w:rsidRPr="003D7560">
        <w:rPr>
          <w:lang w:val="en-GB"/>
        </w:rPr>
        <w:t xml:space="preserve"> § </w:t>
      </w:r>
      <w:r w:rsidR="003A521C">
        <w:t>43</w:t>
      </w:r>
      <w:r w:rsidR="003E64E0" w:rsidRPr="003D7560">
        <w:rPr>
          <w:lang w:val="en-GB"/>
        </w:rPr>
        <w:t xml:space="preserve"> </w:t>
      </w:r>
      <w:r w:rsidR="008E3F48" w:rsidRPr="003D7560">
        <w:rPr>
          <w:lang w:val="en-GB"/>
        </w:rPr>
        <w:t>above</w:t>
      </w:r>
      <w:r w:rsidR="003E64E0" w:rsidRPr="003D7560">
        <w:rPr>
          <w:lang w:val="en-GB"/>
        </w:rPr>
        <w:t xml:space="preserve">, at </w:t>
      </w:r>
      <w:r w:rsidR="008E3F48" w:rsidRPr="003D7560">
        <w:rPr>
          <w:lang w:val="en-GB"/>
        </w:rPr>
        <w:t xml:space="preserve">§ 191; see also ECtHR, </w:t>
      </w:r>
      <w:r w:rsidR="008E3F48" w:rsidRPr="003D7560">
        <w:rPr>
          <w:i/>
          <w:lang w:val="en-GB"/>
        </w:rPr>
        <w:t>Palić v. Bosnia and Herzegovina</w:t>
      </w:r>
      <w:r w:rsidR="008E3F48" w:rsidRPr="003D7560">
        <w:rPr>
          <w:lang w:val="en-GB"/>
        </w:rPr>
        <w:t xml:space="preserve">, </w:t>
      </w:r>
      <w:r w:rsidR="003A521C" w:rsidRPr="003D7560">
        <w:rPr>
          <w:lang w:val="en-GB"/>
        </w:rPr>
        <w:t xml:space="preserve">cited in § </w:t>
      </w:r>
      <w:r w:rsidR="003A521C">
        <w:rPr>
          <w:lang w:val="en-GB"/>
        </w:rPr>
        <w:t>6</w:t>
      </w:r>
      <w:r w:rsidR="003A521C">
        <w:t>3</w:t>
      </w:r>
      <w:r w:rsidR="003A521C" w:rsidRPr="003D7560">
        <w:rPr>
          <w:lang w:val="en-GB"/>
        </w:rPr>
        <w:t xml:space="preserve"> above</w:t>
      </w:r>
      <w:r w:rsidR="008E3F48" w:rsidRPr="003D7560">
        <w:rPr>
          <w:lang w:val="en-GB"/>
        </w:rPr>
        <w:t xml:space="preserve">,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proofErr w:type="spellStart"/>
      <w:r w:rsidR="008E3F48" w:rsidRPr="003D7560">
        <w:rPr>
          <w:i/>
          <w:lang w:val="en-GB"/>
        </w:rPr>
        <w:t>Ahmet</w:t>
      </w:r>
      <w:proofErr w:type="spellEnd"/>
      <w:r w:rsidR="008E3F48" w:rsidRPr="003D7560">
        <w:rPr>
          <w:i/>
          <w:lang w:val="en-GB"/>
        </w:rPr>
        <w:t xml:space="preserve"> </w:t>
      </w:r>
      <w:proofErr w:type="spellStart"/>
      <w:r w:rsidR="008E3F48" w:rsidRPr="003D7560">
        <w:rPr>
          <w:i/>
          <w:lang w:val="en-GB"/>
        </w:rPr>
        <w:t>Özkan</w:t>
      </w:r>
      <w:proofErr w:type="spellEnd"/>
      <w:r w:rsidR="008E3F48" w:rsidRPr="003D7560">
        <w:rPr>
          <w:i/>
          <w:lang w:val="en-GB"/>
        </w:rPr>
        <w:t xml:space="preserve"> and Others v. Turkey</w:t>
      </w:r>
      <w:r w:rsidR="008E3F48" w:rsidRPr="003D7560">
        <w:rPr>
          <w:lang w:val="en-GB"/>
        </w:rPr>
        <w:t xml:space="preserve">, cited above, at § 312, and </w:t>
      </w:r>
      <w:r w:rsidR="003E64E0" w:rsidRPr="003D7560">
        <w:rPr>
          <w:lang w:val="en-GB"/>
        </w:rPr>
        <w:t>ECtHR,</w:t>
      </w:r>
      <w:r w:rsidR="003E64E0" w:rsidRPr="003D7560">
        <w:rPr>
          <w:i/>
          <w:lang w:val="en-GB"/>
        </w:rPr>
        <w:t xml:space="preserve"> </w:t>
      </w:r>
      <w:proofErr w:type="spellStart"/>
      <w:r w:rsidR="008E3F48" w:rsidRPr="003D7560">
        <w:rPr>
          <w:i/>
          <w:lang w:val="en-GB"/>
        </w:rPr>
        <w:t>Isayeva</w:t>
      </w:r>
      <w:proofErr w:type="spellEnd"/>
      <w:r w:rsidR="008E3F48" w:rsidRPr="003D7560">
        <w:rPr>
          <w:i/>
          <w:lang w:val="en-GB"/>
        </w:rPr>
        <w:t xml:space="preserve"> v. Russia</w:t>
      </w:r>
      <w:r w:rsidR="008E3F48" w:rsidRPr="003D7560">
        <w:rPr>
          <w:lang w:val="en-GB"/>
        </w:rPr>
        <w:t>, cited above, at § 212).</w:t>
      </w:r>
      <w:bookmarkEnd w:id="27"/>
      <w:bookmarkEnd w:id="28"/>
      <w:r w:rsidR="008E3F48" w:rsidRPr="003D7560">
        <w:rPr>
          <w:lang w:val="en-GB"/>
        </w:rPr>
        <w:t xml:space="preserve"> </w:t>
      </w:r>
      <w:bookmarkStart w:id="29" w:name="_Ref373832219"/>
    </w:p>
    <w:p w:rsidR="00046EBD" w:rsidRDefault="00046EBD" w:rsidP="00046EBD">
      <w:pPr>
        <w:pStyle w:val="ListParagraph"/>
        <w:ind w:left="360"/>
        <w:jc w:val="both"/>
        <w:rPr>
          <w:lang w:val="en-GB"/>
        </w:rPr>
      </w:pPr>
    </w:p>
    <w:p w:rsidR="00046EBD" w:rsidRPr="00F65614" w:rsidRDefault="008E3F48" w:rsidP="00046EBD">
      <w:pPr>
        <w:pStyle w:val="ListParagraph"/>
        <w:numPr>
          <w:ilvl w:val="0"/>
          <w:numId w:val="12"/>
        </w:numPr>
        <w:jc w:val="both"/>
        <w:rPr>
          <w:lang w:val="en-GB"/>
        </w:rPr>
      </w:pPr>
      <w:r w:rsidRPr="00046EBD">
        <w:rPr>
          <w:lang w:val="en-GB"/>
        </w:rPr>
        <w:t xml:space="preserve">In particular, the investigation’s conclusion must be based on thorough, objective and impartial analysis of all relevant </w:t>
      </w:r>
      <w:r w:rsidRPr="003D7560">
        <w:rPr>
          <w:lang w:val="en-GB"/>
        </w:rPr>
        <w:t xml:space="preserve">elements. Failing to follow an obvious line of enquiry undermines to a decisive extent the ability to establish the circumstances of the case and the identity of those responsible (see ECtHR, </w:t>
      </w:r>
      <w:proofErr w:type="spellStart"/>
      <w:r w:rsidRPr="003D7560">
        <w:rPr>
          <w:i/>
          <w:lang w:val="en-GB"/>
        </w:rPr>
        <w:t>Kolevi</w:t>
      </w:r>
      <w:proofErr w:type="spellEnd"/>
      <w:r w:rsidRPr="003D7560">
        <w:rPr>
          <w:i/>
          <w:lang w:val="en-GB"/>
        </w:rPr>
        <w:t xml:space="preserve"> v. Bulgaria</w:t>
      </w:r>
      <w:r w:rsidRPr="003D7560">
        <w:rPr>
          <w:lang w:val="en-GB"/>
        </w:rPr>
        <w:t>, cited</w:t>
      </w:r>
      <w:r w:rsidR="003E64E0" w:rsidRPr="003D7560">
        <w:rPr>
          <w:lang w:val="en-GB"/>
        </w:rPr>
        <w:t xml:space="preserve"> in</w:t>
      </w:r>
      <w:r w:rsidRPr="003D7560">
        <w:rPr>
          <w:lang w:val="en-GB"/>
        </w:rPr>
        <w:t xml:space="preserve"> §</w:t>
      </w:r>
      <w:r w:rsidR="003A521C">
        <w:rPr>
          <w:lang w:val="en-GB"/>
        </w:rPr>
        <w:t xml:space="preserve"> 75</w:t>
      </w:r>
      <w:r w:rsidR="005E4D0E" w:rsidRPr="003D7560">
        <w:rPr>
          <w:lang w:val="en-GB"/>
        </w:rPr>
        <w:t xml:space="preserve"> above</w:t>
      </w:r>
      <w:r w:rsidRPr="003D7560">
        <w:rPr>
          <w:lang w:val="en-GB"/>
        </w:rPr>
        <w:t xml:space="preserve">, </w:t>
      </w:r>
      <w:r w:rsidR="003E64E0" w:rsidRPr="003D7560">
        <w:rPr>
          <w:lang w:val="en-GB"/>
        </w:rPr>
        <w:t xml:space="preserve">at </w:t>
      </w:r>
      <w:r w:rsidRPr="003D7560">
        <w:rPr>
          <w:lang w:val="en-GB"/>
        </w:rPr>
        <w:t>§ 201). Nevertheless, the nature and degree of scrutiny which satisfy the minimum threshold of the</w:t>
      </w:r>
      <w:r w:rsidRPr="00046EBD">
        <w:rPr>
          <w:lang w:val="en-GB"/>
        </w:rPr>
        <w:t xml:space="preserve"> investigation’s </w:t>
      </w:r>
      <w:r w:rsidRPr="00F65614">
        <w:rPr>
          <w:lang w:val="en-GB"/>
        </w:rPr>
        <w:t xml:space="preserve">effectiveness depend on the circumstances of the particular case. They must be assessed on the basis of all relevant facts and with regard to the practical realities of the investigative work (see ECtHR, </w:t>
      </w:r>
      <w:proofErr w:type="spellStart"/>
      <w:r w:rsidRPr="00F65614">
        <w:rPr>
          <w:i/>
          <w:lang w:val="en-GB"/>
        </w:rPr>
        <w:t>Velcea</w:t>
      </w:r>
      <w:proofErr w:type="spellEnd"/>
      <w:r w:rsidRPr="00F65614">
        <w:rPr>
          <w:i/>
          <w:lang w:val="en-GB"/>
        </w:rPr>
        <w:t xml:space="preserve"> and </w:t>
      </w:r>
      <w:proofErr w:type="spellStart"/>
      <w:r w:rsidRPr="00F65614">
        <w:rPr>
          <w:i/>
          <w:lang w:val="en-GB"/>
        </w:rPr>
        <w:t>Mazăre</w:t>
      </w:r>
      <w:proofErr w:type="spellEnd"/>
      <w:r w:rsidRPr="00F65614">
        <w:rPr>
          <w:lang w:val="en-GB"/>
        </w:rPr>
        <w:t xml:space="preserve"> </w:t>
      </w:r>
      <w:r w:rsidRPr="00F65614">
        <w:rPr>
          <w:i/>
          <w:lang w:val="en-GB"/>
        </w:rPr>
        <w:t>v. Romania</w:t>
      </w:r>
      <w:r w:rsidRPr="00F65614">
        <w:rPr>
          <w:lang w:val="en-GB"/>
        </w:rPr>
        <w:t>, no. 64301/01, judgment of 1 December 2009, § 105).</w:t>
      </w:r>
      <w:bookmarkEnd w:id="29"/>
      <w:r w:rsidR="00250376" w:rsidRPr="00F65614">
        <w:rPr>
          <w:lang w:val="en-GB"/>
        </w:rPr>
        <w:t xml:space="preserve"> At the same time, “the authorities must always make a serious attempt to find out what happened and should not rely on hasty or ill-founded conclusions to close their investigation”</w:t>
      </w:r>
      <w:r w:rsidRPr="00F65614">
        <w:rPr>
          <w:lang w:val="en-GB"/>
        </w:rPr>
        <w:t xml:space="preserve"> </w:t>
      </w:r>
      <w:r w:rsidR="00250376" w:rsidRPr="00F65614">
        <w:rPr>
          <w:lang w:val="en-GB"/>
        </w:rPr>
        <w:t xml:space="preserve">(see ECtHR [GC], </w:t>
      </w:r>
      <w:r w:rsidR="00250376" w:rsidRPr="00F65614">
        <w:rPr>
          <w:i/>
          <w:lang w:val="en-GB"/>
        </w:rPr>
        <w:t xml:space="preserve">El </w:t>
      </w:r>
      <w:proofErr w:type="spellStart"/>
      <w:r w:rsidR="00250376" w:rsidRPr="00F65614">
        <w:rPr>
          <w:i/>
          <w:lang w:val="en-GB"/>
        </w:rPr>
        <w:t>Masri</w:t>
      </w:r>
      <w:proofErr w:type="spellEnd"/>
      <w:r w:rsidR="00250376" w:rsidRPr="00F65614">
        <w:rPr>
          <w:i/>
          <w:lang w:val="en-GB"/>
        </w:rPr>
        <w:t xml:space="preserve"> v. “the Former Yugoslav Republic of Macedonia”</w:t>
      </w:r>
      <w:r w:rsidR="00250376" w:rsidRPr="00F65614">
        <w:rPr>
          <w:lang w:val="en-GB"/>
        </w:rPr>
        <w:t xml:space="preserve">, no. 39630/09, judgment of 13 December 2012, § 183; ECtHR [GC], </w:t>
      </w:r>
      <w:r w:rsidR="00250376" w:rsidRPr="00F65614">
        <w:rPr>
          <w:i/>
          <w:lang w:val="en-GB"/>
        </w:rPr>
        <w:t>Mocanu and Others v. Romania</w:t>
      </w:r>
      <w:r w:rsidR="00250376" w:rsidRPr="00F65614">
        <w:rPr>
          <w:lang w:val="en-GB"/>
        </w:rPr>
        <w:t xml:space="preserve">, cited above § 322). </w:t>
      </w:r>
    </w:p>
    <w:p w:rsidR="00046EBD" w:rsidRPr="00F65614" w:rsidRDefault="00046EBD" w:rsidP="00046EBD">
      <w:pPr>
        <w:pStyle w:val="ListParagraph"/>
        <w:rPr>
          <w:rStyle w:val="sb8d990e2"/>
        </w:rPr>
      </w:pPr>
    </w:p>
    <w:p w:rsidR="00046EBD" w:rsidRPr="00F65614" w:rsidRDefault="00100111" w:rsidP="00046EBD">
      <w:pPr>
        <w:pStyle w:val="ListParagraph"/>
        <w:numPr>
          <w:ilvl w:val="0"/>
          <w:numId w:val="12"/>
        </w:numPr>
        <w:jc w:val="both"/>
        <w:rPr>
          <w:lang w:val="en-GB"/>
        </w:rPr>
      </w:pPr>
      <w:r w:rsidRPr="00F65614">
        <w:rPr>
          <w:rStyle w:val="sb8d990e2"/>
        </w:rPr>
        <w:t xml:space="preserve">A requirement of promptness and reasonable expedition is implicit in this context. Even where there may be obstacles or difficulties which prevent progress in an </w:t>
      </w:r>
      <w:bookmarkStart w:id="30" w:name="HIT98"/>
      <w:bookmarkEnd w:id="30"/>
      <w:r w:rsidRPr="00F65614">
        <w:rPr>
          <w:rStyle w:val="sb8d990e2"/>
        </w:rPr>
        <w:t xml:space="preserve">investigation in a </w:t>
      </w:r>
      <w:r w:rsidRPr="00F65614">
        <w:rPr>
          <w:rStyle w:val="sb8d990e2"/>
        </w:rPr>
        <w:lastRenderedPageBreak/>
        <w:t xml:space="preserve">particular situation, a </w:t>
      </w:r>
      <w:bookmarkStart w:id="31" w:name="HIT99"/>
      <w:bookmarkEnd w:id="31"/>
      <w:r w:rsidRPr="00F65614">
        <w:rPr>
          <w:rStyle w:val="sb8d990e2"/>
        </w:rPr>
        <w:t>prompt response by the authorities is vital in maintaining public confidence in their adherence to the rule of law and in preventing any appearance of collusion in or tolerance of unlawful acts (see ECtHR,</w:t>
      </w:r>
      <w:r w:rsidRPr="00F65614">
        <w:rPr>
          <w:rStyle w:val="s6b621b36"/>
        </w:rPr>
        <w:t xml:space="preserve"> </w:t>
      </w:r>
      <w:r w:rsidRPr="00F65614">
        <w:rPr>
          <w:rStyle w:val="s6b621b36"/>
          <w:i/>
        </w:rPr>
        <w:t>Paul and Audrey Edwards</w:t>
      </w:r>
      <w:r w:rsidRPr="00F65614">
        <w:rPr>
          <w:rStyle w:val="sb8d990e2"/>
        </w:rPr>
        <w:t xml:space="preserve"> </w:t>
      </w:r>
      <w:r w:rsidRPr="00F65614">
        <w:rPr>
          <w:i/>
        </w:rPr>
        <w:t>v. the United Kingdom</w:t>
      </w:r>
      <w:r w:rsidRPr="00F65614">
        <w:t>, no. 46477/99, judgment of 14 March 2002, § 72, ECHR 2002</w:t>
      </w:r>
      <w:r w:rsidRPr="00F65614">
        <w:noBreakHyphen/>
        <w:t>II</w:t>
      </w:r>
      <w:r w:rsidR="00250376" w:rsidRPr="00F65614">
        <w:t xml:space="preserve">; ECtHR [GC], </w:t>
      </w:r>
      <w:r w:rsidR="00250376" w:rsidRPr="00F65614">
        <w:rPr>
          <w:i/>
          <w:lang w:val="en-GB"/>
        </w:rPr>
        <w:t>Mocanu and Others v. Romania</w:t>
      </w:r>
      <w:r w:rsidR="00250376" w:rsidRPr="00F65614">
        <w:rPr>
          <w:lang w:val="en-GB"/>
        </w:rPr>
        <w:t>, cited in § 76 above, at § 323</w:t>
      </w:r>
      <w:r w:rsidRPr="00F65614">
        <w:t>).</w:t>
      </w:r>
      <w:bookmarkStart w:id="32" w:name="_Ref373950745"/>
    </w:p>
    <w:p w:rsidR="00046EBD" w:rsidRPr="00F65614" w:rsidRDefault="00046EBD" w:rsidP="00046EBD">
      <w:pPr>
        <w:pStyle w:val="ListParagraph"/>
        <w:rPr>
          <w:lang w:val="en-GB"/>
        </w:rPr>
      </w:pPr>
    </w:p>
    <w:p w:rsidR="00046EBD" w:rsidRDefault="008E3F48" w:rsidP="00046EBD">
      <w:pPr>
        <w:pStyle w:val="ListParagraph"/>
        <w:numPr>
          <w:ilvl w:val="0"/>
          <w:numId w:val="12"/>
        </w:numPr>
        <w:jc w:val="both"/>
        <w:rPr>
          <w:lang w:val="en-GB"/>
        </w:rPr>
      </w:pPr>
      <w:r w:rsidRPr="00F65614">
        <w:rPr>
          <w:lang w:val="en-GB"/>
        </w:rPr>
        <w:t>Specifically with regard to persons disappeared and later found dead</w:t>
      </w:r>
      <w:r w:rsidRPr="00046EBD">
        <w:rPr>
          <w:lang w:val="en-GB"/>
        </w:rPr>
        <w:t xml:space="preserve">,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w:t>
      </w:r>
      <w:r w:rsidRPr="003D7560">
        <w:rPr>
          <w:lang w:val="en-GB"/>
        </w:rPr>
        <w:t xml:space="preserve">unaccounted for, and it is thus of a continuing nature” (ECtHR, </w:t>
      </w:r>
      <w:r w:rsidRPr="003D7560">
        <w:rPr>
          <w:i/>
          <w:lang w:val="en-GB"/>
        </w:rPr>
        <w:t>Palić v. Bosnia and Herzegovina</w:t>
      </w:r>
      <w:r w:rsidRPr="003D7560">
        <w:rPr>
          <w:lang w:val="en-GB"/>
        </w:rPr>
        <w:t xml:space="preserve">, cited in § </w:t>
      </w:r>
      <w:r w:rsidR="003A521C">
        <w:t>63</w:t>
      </w:r>
      <w:r w:rsidRPr="003D7560">
        <w:rPr>
          <w:lang w:val="en-GB"/>
        </w:rPr>
        <w:t xml:space="preserve"> above, § 46; in the same sense ECtHR [GC], </w:t>
      </w:r>
      <w:r w:rsidRPr="003D7560">
        <w:rPr>
          <w:i/>
          <w:lang w:val="en-GB"/>
        </w:rPr>
        <w:t>Varnava and Others v. Turkey</w:t>
      </w:r>
      <w:r w:rsidRPr="003D7560">
        <w:rPr>
          <w:lang w:val="en-GB"/>
        </w:rPr>
        <w:t xml:space="preserve">, cited in § </w:t>
      </w:r>
      <w:r w:rsidR="00D87FFC">
        <w:rPr>
          <w:lang w:val="en-GB"/>
        </w:rPr>
        <w:t>4</w:t>
      </w:r>
      <w:r w:rsidR="003A521C">
        <w:t>3</w:t>
      </w:r>
      <w:r w:rsidRPr="003D7560">
        <w:rPr>
          <w:lang w:val="en-GB"/>
        </w:rPr>
        <w:t xml:space="preserve"> above, § 148, </w:t>
      </w:r>
      <w:r w:rsidRPr="003D7560">
        <w:rPr>
          <w:i/>
          <w:lang w:val="en-GB"/>
        </w:rPr>
        <w:t>Aslakhanova and Others v. Russia</w:t>
      </w:r>
      <w:r w:rsidRPr="003D7560">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3D7560">
        <w:rPr>
          <w:i/>
          <w:lang w:val="en-GB"/>
        </w:rPr>
        <w:t>Palić v. Bosnia and Herzegovina</w:t>
      </w:r>
      <w:r w:rsidRPr="003D7560">
        <w:rPr>
          <w:lang w:val="en-GB"/>
        </w:rPr>
        <w:t>, cited above</w:t>
      </w:r>
      <w:r w:rsidR="00596E66" w:rsidRPr="003D7560">
        <w:rPr>
          <w:lang w:val="en-GB"/>
        </w:rPr>
        <w:t>, § 46</w:t>
      </w:r>
      <w:r w:rsidRPr="003D7560">
        <w:rPr>
          <w:lang w:val="en-GB"/>
        </w:rPr>
        <w:t xml:space="preserve">; in the same sense ECtHR [GC], </w:t>
      </w:r>
      <w:r w:rsidRPr="003D7560">
        <w:rPr>
          <w:i/>
          <w:lang w:val="en-GB"/>
        </w:rPr>
        <w:t>Varnava and Others v. Turkey</w:t>
      </w:r>
      <w:r w:rsidRPr="003D7560">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3D7560">
        <w:rPr>
          <w:i/>
          <w:lang w:val="en-GB"/>
        </w:rPr>
        <w:t>Palić v. Bosnia and Herzegovina</w:t>
      </w:r>
      <w:r w:rsidRPr="003D7560">
        <w:rPr>
          <w:lang w:val="en-GB"/>
        </w:rPr>
        <w:t>, cited above</w:t>
      </w:r>
      <w:r w:rsidR="00596E66" w:rsidRPr="003D7560">
        <w:rPr>
          <w:lang w:val="en-GB"/>
        </w:rPr>
        <w:t>, § 64</w:t>
      </w:r>
      <w:r w:rsidRPr="003D7560">
        <w:rPr>
          <w:lang w:val="en-GB"/>
        </w:rPr>
        <w:t>).</w:t>
      </w:r>
      <w:bookmarkStart w:id="33" w:name="_Ref347937166"/>
      <w:bookmarkStart w:id="34" w:name="_Ref366240205"/>
      <w:bookmarkEnd w:id="32"/>
    </w:p>
    <w:p w:rsidR="00046EBD" w:rsidRDefault="00046EBD" w:rsidP="00046EBD">
      <w:pPr>
        <w:pStyle w:val="ListParagraph"/>
        <w:ind w:left="360"/>
        <w:jc w:val="both"/>
        <w:rPr>
          <w:lang w:val="en-GB"/>
        </w:rPr>
      </w:pPr>
    </w:p>
    <w:p w:rsidR="003D7560" w:rsidRPr="00F65614" w:rsidRDefault="008E3F48" w:rsidP="003D7560">
      <w:pPr>
        <w:pStyle w:val="ListParagraph"/>
        <w:numPr>
          <w:ilvl w:val="0"/>
          <w:numId w:val="12"/>
        </w:numPr>
        <w:jc w:val="both"/>
        <w:rPr>
          <w:lang w:val="en-GB"/>
        </w:rPr>
      </w:pPr>
      <w:r w:rsidRPr="00046EBD">
        <w:rPr>
          <w:lang w:val="en-GB"/>
        </w:rPr>
        <w:t xml:space="preserve">On the requirement of public scrutiny, the Court has further stated that there must be a sufficient element of public scrutiny of the investigation or its results to secure accountability in practice as well as in </w:t>
      </w:r>
      <w:r w:rsidRPr="00F65614">
        <w:rPr>
          <w:lang w:val="en-GB"/>
        </w:rPr>
        <w:t xml:space="preserve">theory. The degree of public scrutiny required may well vary from case to case. In all cases, however, the victim's next-of-kin must be involved in the procedure to the extent necessary to safeguard his or her legitimate interests (see </w:t>
      </w:r>
      <w:proofErr w:type="spellStart"/>
      <w:r w:rsidRPr="00F65614">
        <w:rPr>
          <w:i/>
          <w:lang w:val="en-GB"/>
        </w:rPr>
        <w:t>Ahmet</w:t>
      </w:r>
      <w:proofErr w:type="spellEnd"/>
      <w:r w:rsidRPr="00F65614">
        <w:rPr>
          <w:i/>
          <w:lang w:val="en-GB"/>
        </w:rPr>
        <w:t xml:space="preserve"> </w:t>
      </w:r>
      <w:proofErr w:type="spellStart"/>
      <w:r w:rsidRPr="00F65614">
        <w:rPr>
          <w:i/>
          <w:lang w:val="en-GB"/>
        </w:rPr>
        <w:t>Özkan</w:t>
      </w:r>
      <w:proofErr w:type="spellEnd"/>
      <w:r w:rsidRPr="00F65614">
        <w:rPr>
          <w:i/>
          <w:lang w:val="en-GB"/>
        </w:rPr>
        <w:t xml:space="preserve"> and Others v. Turkey</w:t>
      </w:r>
      <w:r w:rsidRPr="00F65614">
        <w:rPr>
          <w:lang w:val="en-GB"/>
        </w:rPr>
        <w:t xml:space="preserve">, cited in § </w:t>
      </w:r>
      <w:r w:rsidR="003A521C" w:rsidRPr="00F65614">
        <w:t>77</w:t>
      </w:r>
      <w:r w:rsidR="00CF7241" w:rsidRPr="00F65614">
        <w:rPr>
          <w:lang w:val="en-GB"/>
        </w:rPr>
        <w:t xml:space="preserve"> </w:t>
      </w:r>
      <w:r w:rsidRPr="00F65614">
        <w:rPr>
          <w:lang w:val="en-GB"/>
        </w:rPr>
        <w:t>above, at §§ 311</w:t>
      </w:r>
      <w:r w:rsidRPr="00F65614">
        <w:rPr>
          <w:lang w:val="en-GB"/>
        </w:rPr>
        <w:noBreakHyphen/>
        <w:t xml:space="preserve">314; </w:t>
      </w:r>
      <w:proofErr w:type="spellStart"/>
      <w:r w:rsidRPr="00F65614">
        <w:rPr>
          <w:i/>
          <w:lang w:val="en-GB"/>
        </w:rPr>
        <w:t>Isayeva</w:t>
      </w:r>
      <w:proofErr w:type="spellEnd"/>
      <w:r w:rsidRPr="00F65614">
        <w:rPr>
          <w:i/>
          <w:lang w:val="en-GB"/>
        </w:rPr>
        <w:t xml:space="preserve"> v. Russia</w:t>
      </w:r>
      <w:r w:rsidRPr="00F65614">
        <w:rPr>
          <w:lang w:val="en-GB"/>
        </w:rPr>
        <w:t xml:space="preserve">, </w:t>
      </w:r>
      <w:r w:rsidR="00CF7241" w:rsidRPr="00F65614">
        <w:rPr>
          <w:lang w:val="en-GB"/>
        </w:rPr>
        <w:t xml:space="preserve">cited in § </w:t>
      </w:r>
      <w:r w:rsidR="003A521C" w:rsidRPr="00F65614">
        <w:t>77</w:t>
      </w:r>
      <w:r w:rsidR="00CF7241" w:rsidRPr="00F65614">
        <w:rPr>
          <w:lang w:val="en-GB"/>
        </w:rPr>
        <w:t xml:space="preserve"> above, </w:t>
      </w:r>
      <w:r w:rsidRPr="00F65614">
        <w:rPr>
          <w:lang w:val="en-GB"/>
        </w:rPr>
        <w:t xml:space="preserve">§§ 211-214 and the cases cited therein).” ECtHR [GC], </w:t>
      </w:r>
      <w:r w:rsidRPr="00F65614">
        <w:rPr>
          <w:i/>
          <w:lang w:val="en-GB"/>
        </w:rPr>
        <w:t>Al-</w:t>
      </w:r>
      <w:proofErr w:type="spellStart"/>
      <w:r w:rsidRPr="00F65614">
        <w:rPr>
          <w:i/>
          <w:lang w:val="en-GB"/>
        </w:rPr>
        <w:t>Skeini</w:t>
      </w:r>
      <w:proofErr w:type="spellEnd"/>
      <w:r w:rsidRPr="00F65614">
        <w:rPr>
          <w:i/>
          <w:lang w:val="en-GB"/>
        </w:rPr>
        <w:t xml:space="preserve"> and Others v. United Kingdom</w:t>
      </w:r>
      <w:r w:rsidRPr="00F65614">
        <w:rPr>
          <w:lang w:val="en-GB"/>
        </w:rPr>
        <w:t>, no. 55721/07, judgment of 7 July 2011, § 167, ECHR 2011</w:t>
      </w:r>
      <w:r w:rsidR="00250376" w:rsidRPr="00F65614">
        <w:rPr>
          <w:lang w:val="en-GB"/>
        </w:rPr>
        <w:t>;</w:t>
      </w:r>
      <w:r w:rsidR="00250376" w:rsidRPr="00F65614">
        <w:t xml:space="preserve"> ECtHR [GC], </w:t>
      </w:r>
      <w:r w:rsidR="00250376" w:rsidRPr="00F65614">
        <w:rPr>
          <w:i/>
          <w:lang w:val="en-GB"/>
        </w:rPr>
        <w:t>Mocanu and Others v. Romania</w:t>
      </w:r>
      <w:r w:rsidR="00250376" w:rsidRPr="00F65614">
        <w:rPr>
          <w:lang w:val="en-GB"/>
        </w:rPr>
        <w:t>, cited in § 76 above, at § 324</w:t>
      </w:r>
      <w:r w:rsidRPr="00F65614">
        <w:rPr>
          <w:lang w:val="en-GB"/>
        </w:rPr>
        <w:t>).</w:t>
      </w:r>
      <w:bookmarkStart w:id="35" w:name="_Ref366163783"/>
      <w:bookmarkEnd w:id="33"/>
      <w:bookmarkEnd w:id="34"/>
    </w:p>
    <w:p w:rsidR="003D7560" w:rsidRPr="00F65614" w:rsidRDefault="003D7560" w:rsidP="003D7560">
      <w:pPr>
        <w:pStyle w:val="ListParagraph"/>
        <w:rPr>
          <w:lang w:val="en-GB"/>
        </w:rPr>
      </w:pPr>
    </w:p>
    <w:p w:rsidR="003D7560" w:rsidRPr="000D6BAA" w:rsidRDefault="003D7560" w:rsidP="003D7560">
      <w:pPr>
        <w:pStyle w:val="ListParagraph"/>
        <w:numPr>
          <w:ilvl w:val="0"/>
          <w:numId w:val="12"/>
        </w:numPr>
        <w:jc w:val="both"/>
        <w:rPr>
          <w:lang w:val="en-GB"/>
        </w:rPr>
      </w:pPr>
      <w:r w:rsidRPr="00F65614">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F65614">
        <w:rPr>
          <w:i/>
          <w:iCs/>
          <w:lang w:val="en-GB"/>
        </w:rPr>
        <w:t>El-</w:t>
      </w:r>
      <w:proofErr w:type="spellStart"/>
      <w:r w:rsidRPr="00F65614">
        <w:rPr>
          <w:i/>
          <w:iCs/>
          <w:lang w:val="en-GB"/>
        </w:rPr>
        <w:t>Masri</w:t>
      </w:r>
      <w:proofErr w:type="spellEnd"/>
      <w:r w:rsidRPr="00F65614">
        <w:rPr>
          <w:i/>
          <w:iCs/>
          <w:lang w:val="en-GB"/>
        </w:rPr>
        <w:t xml:space="preserve"> v. </w:t>
      </w:r>
      <w:r w:rsidR="00250376" w:rsidRPr="00F65614">
        <w:rPr>
          <w:i/>
          <w:iCs/>
          <w:lang w:val="en-GB"/>
        </w:rPr>
        <w:t>“</w:t>
      </w:r>
      <w:r w:rsidR="00F65614">
        <w:rPr>
          <w:i/>
          <w:iCs/>
          <w:lang w:val="en-GB"/>
        </w:rPr>
        <w:t>t</w:t>
      </w:r>
      <w:r w:rsidRPr="00F65614">
        <w:rPr>
          <w:i/>
          <w:iCs/>
          <w:lang w:val="en-GB"/>
        </w:rPr>
        <w:t>he Former Yugoslav Republic of Macedonia</w:t>
      </w:r>
      <w:r w:rsidR="00250376" w:rsidRPr="00F65614">
        <w:rPr>
          <w:i/>
          <w:iCs/>
          <w:lang w:val="en-GB"/>
        </w:rPr>
        <w:t>”</w:t>
      </w:r>
      <w:r w:rsidR="00250376" w:rsidRPr="00F65614">
        <w:rPr>
          <w:lang w:val="en-GB"/>
        </w:rPr>
        <w:t>, cited in § 76 above</w:t>
      </w:r>
      <w:r w:rsidRPr="00F65614">
        <w:rPr>
          <w:lang w:val="en-GB"/>
        </w:rPr>
        <w:t xml:space="preserve">, § 191; ECtHR, </w:t>
      </w:r>
      <w:r w:rsidRPr="00F65614">
        <w:rPr>
          <w:i/>
          <w:iCs/>
          <w:lang w:val="en-GB"/>
        </w:rPr>
        <w:t xml:space="preserve">Al </w:t>
      </w:r>
      <w:proofErr w:type="spellStart"/>
      <w:r w:rsidRPr="00F65614">
        <w:rPr>
          <w:i/>
          <w:iCs/>
          <w:lang w:val="en-GB"/>
        </w:rPr>
        <w:t>Nashiri</w:t>
      </w:r>
      <w:proofErr w:type="spellEnd"/>
      <w:r w:rsidRPr="00F65614">
        <w:rPr>
          <w:i/>
          <w:iCs/>
          <w:lang w:val="en-GB"/>
        </w:rPr>
        <w:t xml:space="preserve"> v. Poland</w:t>
      </w:r>
      <w:r w:rsidRPr="00F65614">
        <w:rPr>
          <w:lang w:val="en-GB"/>
        </w:rPr>
        <w:t xml:space="preserve">, no. 28761/11, judgment of 24 July 2014, §§ 495-496). </w:t>
      </w:r>
      <w:r w:rsidRPr="00F65614">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w:t>
      </w:r>
      <w:r w:rsidRPr="000D6BAA">
        <w:t xml:space="preserve"> in them. In the case of missing persons … it also implies the right to know the fate and whereabouts of the victim” (see Report of the UN Secretary-General, Missing Persons, UN Document A/67/267, 8 August 2012, § 5; see also HRC,  </w:t>
      </w:r>
      <w:proofErr w:type="spellStart"/>
      <w:r w:rsidRPr="000D6BAA">
        <w:rPr>
          <w:i/>
          <w:iCs/>
        </w:rPr>
        <w:t>Schedko</w:t>
      </w:r>
      <w:proofErr w:type="spellEnd"/>
      <w:r w:rsidRPr="000D6BAA">
        <w:rPr>
          <w:i/>
          <w:iCs/>
        </w:rPr>
        <w:t xml:space="preserve"> and </w:t>
      </w:r>
      <w:proofErr w:type="spellStart"/>
      <w:r w:rsidRPr="000D6BAA">
        <w:rPr>
          <w:i/>
          <w:iCs/>
        </w:rPr>
        <w:t>Bondarenko</w:t>
      </w:r>
      <w:proofErr w:type="spellEnd"/>
      <w:r w:rsidRPr="000D6BAA">
        <w:rPr>
          <w:i/>
          <w:iCs/>
        </w:rPr>
        <w:t xml:space="preserve"> v. Belarus</w:t>
      </w:r>
      <w:r w:rsidRPr="000D6BAA">
        <w:t xml:space="preserve">, Communication no. 886/1999, views of 3 April 2003, § 10.2, CCPR/C/77/D/886/1999; HRC, </w:t>
      </w:r>
      <w:r w:rsidRPr="000D6BAA">
        <w:rPr>
          <w:i/>
          <w:iCs/>
        </w:rPr>
        <w:t xml:space="preserve">Mariam, Philippe, </w:t>
      </w:r>
      <w:proofErr w:type="spellStart"/>
      <w:r w:rsidRPr="000D6BAA">
        <w:rPr>
          <w:i/>
          <w:iCs/>
        </w:rPr>
        <w:lastRenderedPageBreak/>
        <w:t>Auguste</w:t>
      </w:r>
      <w:proofErr w:type="spellEnd"/>
      <w:r w:rsidRPr="000D6BAA">
        <w:rPr>
          <w:i/>
          <w:iCs/>
        </w:rPr>
        <w:t xml:space="preserve"> and Thomas </w:t>
      </w:r>
      <w:proofErr w:type="spellStart"/>
      <w:r w:rsidRPr="000D6BAA">
        <w:rPr>
          <w:i/>
          <w:iCs/>
        </w:rPr>
        <w:t>Sankara</w:t>
      </w:r>
      <w:proofErr w:type="spellEnd"/>
      <w:r w:rsidRPr="000D6BAA">
        <w:rPr>
          <w:i/>
          <w:iCs/>
        </w:rPr>
        <w:t xml:space="preserve"> v. Burkina Faso</w:t>
      </w:r>
      <w:r w:rsidRPr="000D6BAA">
        <w:t>, Communication no. 1159/2003, views of 8 March 2006</w:t>
      </w:r>
      <w:r w:rsidRPr="000D6BAA">
        <w:rPr>
          <w:color w:val="000000"/>
          <w:sz w:val="27"/>
          <w:szCs w:val="27"/>
          <w:shd w:val="clear" w:color="auto" w:fill="FFFFFF"/>
          <w:lang w:eastAsia="en-US"/>
        </w:rPr>
        <w:t xml:space="preserve">, </w:t>
      </w:r>
      <w:r w:rsidRPr="000D6BAA">
        <w:t xml:space="preserve">§ 10.2, CCPR/C/86/D/1159/2003; UN Human Rights Council, Resolutions 9/11 and 12/12: Right to the </w:t>
      </w:r>
      <w:r w:rsidRPr="000D6BAA">
        <w:rPr>
          <w:lang w:val="en-GB"/>
        </w:rPr>
        <w:t>Truth</w:t>
      </w:r>
      <w:r w:rsidRPr="000D6BAA">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w:t>
      </w:r>
      <w:proofErr w:type="spellStart"/>
      <w:r w:rsidRPr="000D6BAA">
        <w:t>Emmerson</w:t>
      </w:r>
      <w:proofErr w:type="spellEnd"/>
      <w:r w:rsidRPr="000D6BAA">
        <w:t xml:space="preserve">, </w:t>
      </w:r>
      <w:r w:rsidRPr="000D6BAA">
        <w:rPr>
          <w:i/>
          <w:iCs/>
        </w:rPr>
        <w:t>Framework Principles for securing the accountability of public officials for gross and systematic human rights violations committed in the context of State counter-terrorist initiatives</w:t>
      </w:r>
      <w:r w:rsidRPr="000D6BAA">
        <w:t>, UN Document A/HRC/22/52, 1 March 2013, § 23-26).</w:t>
      </w:r>
    </w:p>
    <w:p w:rsidR="00046EBD" w:rsidRPr="00046EBD" w:rsidRDefault="00046EBD" w:rsidP="00046EBD">
      <w:pPr>
        <w:pStyle w:val="ListParagraph"/>
        <w:ind w:left="360"/>
        <w:jc w:val="both"/>
        <w:rPr>
          <w:lang w:val="en-GB"/>
        </w:rPr>
      </w:pPr>
    </w:p>
    <w:p w:rsidR="00046EBD" w:rsidRPr="001F7985" w:rsidRDefault="00046EBD" w:rsidP="00046EBD">
      <w:pPr>
        <w:pStyle w:val="ListParagraph"/>
        <w:numPr>
          <w:ilvl w:val="0"/>
          <w:numId w:val="7"/>
        </w:numPr>
        <w:contextualSpacing/>
        <w:jc w:val="both"/>
        <w:rPr>
          <w:i/>
          <w:lang w:val="en-GB" w:eastAsia="en-US"/>
        </w:rPr>
      </w:pPr>
      <w:r w:rsidRPr="001F7985">
        <w:rPr>
          <w:i/>
          <w:lang w:val="en-GB"/>
        </w:rPr>
        <w:t>Applicability</w:t>
      </w:r>
      <w:r w:rsidRPr="001F7985">
        <w:rPr>
          <w:i/>
          <w:lang w:val="en-GB" w:eastAsia="en-US"/>
        </w:rPr>
        <w:t xml:space="preserve"> of Article 2 to the Kosovo context</w:t>
      </w:r>
    </w:p>
    <w:p w:rsidR="00046EBD" w:rsidRPr="00046EBD" w:rsidRDefault="00046EBD" w:rsidP="00046EBD">
      <w:pPr>
        <w:pStyle w:val="ListParagraph"/>
        <w:ind w:left="360"/>
        <w:jc w:val="both"/>
        <w:rPr>
          <w:lang w:val="en-GB"/>
        </w:rPr>
      </w:pPr>
    </w:p>
    <w:p w:rsidR="00046EBD" w:rsidRPr="00D87FFC" w:rsidRDefault="001A6816" w:rsidP="00046EBD">
      <w:pPr>
        <w:pStyle w:val="ListParagraph"/>
        <w:numPr>
          <w:ilvl w:val="0"/>
          <w:numId w:val="12"/>
        </w:numPr>
        <w:jc w:val="both"/>
        <w:rPr>
          <w:lang w:val="en-GB"/>
        </w:rPr>
      </w:pPr>
      <w:r w:rsidRPr="00D87FFC">
        <w:rPr>
          <w:lang w:val="en-GB"/>
        </w:rPr>
        <w:t xml:space="preserve">The Panel is conscious that </w:t>
      </w:r>
      <w:r w:rsidR="005A0E34" w:rsidRPr="00D87FFC">
        <w:rPr>
          <w:lang w:val="en-GB"/>
        </w:rPr>
        <w:t xml:space="preserve">Mr </w:t>
      </w:r>
      <w:proofErr w:type="spellStart"/>
      <w:r w:rsidR="005A0E34" w:rsidRPr="00D87FFC">
        <w:rPr>
          <w:lang w:val="en-GB"/>
        </w:rPr>
        <w:t>Mlađan</w:t>
      </w:r>
      <w:proofErr w:type="spellEnd"/>
      <w:r w:rsidR="005A0E34" w:rsidRPr="00D87FFC">
        <w:rPr>
          <w:lang w:val="en-GB"/>
        </w:rPr>
        <w:t xml:space="preserve"> </w:t>
      </w:r>
      <w:proofErr w:type="spellStart"/>
      <w:r w:rsidR="005A0E34" w:rsidRPr="00D87FFC">
        <w:rPr>
          <w:lang w:val="en-GB"/>
        </w:rPr>
        <w:t>Mavrić</w:t>
      </w:r>
      <w:proofErr w:type="spellEnd"/>
      <w:r w:rsidR="005A0E34" w:rsidRPr="00D87FFC">
        <w:rPr>
          <w:lang w:val="en-GB"/>
        </w:rPr>
        <w:t xml:space="preserve"> </w:t>
      </w:r>
      <w:r w:rsidR="00D9429B" w:rsidRPr="00D87FFC">
        <w:rPr>
          <w:lang w:val="en-GB"/>
        </w:rPr>
        <w:t>was</w:t>
      </w:r>
      <w:r w:rsidR="00046EBD" w:rsidRPr="00D87FFC">
        <w:rPr>
          <w:lang w:val="en-GB"/>
        </w:rPr>
        <w:t xml:space="preserve"> abducted</w:t>
      </w:r>
      <w:r w:rsidR="005A0E34" w:rsidRPr="00D87FFC">
        <w:rPr>
          <w:lang w:val="en-GB"/>
        </w:rPr>
        <w:t xml:space="preserve"> and killed</w:t>
      </w:r>
      <w:r w:rsidR="00405C17" w:rsidRPr="00D87FFC">
        <w:rPr>
          <w:lang w:val="en-GB"/>
        </w:rPr>
        <w:t xml:space="preserve"> </w:t>
      </w:r>
      <w:r w:rsidRPr="00D87FFC">
        <w:rPr>
          <w:lang w:val="en-GB"/>
        </w:rPr>
        <w:t>shortly after the deployment of UNMIK in Kosovo in the aftermath of the armed conflict, when crime, violence and insecurity were rife.</w:t>
      </w:r>
      <w:bookmarkEnd w:id="35"/>
    </w:p>
    <w:p w:rsidR="00046EBD" w:rsidRDefault="00046EBD" w:rsidP="00046EBD">
      <w:pPr>
        <w:pStyle w:val="ListParagraph"/>
        <w:ind w:left="360"/>
        <w:jc w:val="both"/>
        <w:rPr>
          <w:lang w:val="en-GB"/>
        </w:rPr>
      </w:pPr>
    </w:p>
    <w:p w:rsidR="00046EBD" w:rsidRDefault="008C61C8" w:rsidP="00046EBD">
      <w:pPr>
        <w:pStyle w:val="ListParagraph"/>
        <w:numPr>
          <w:ilvl w:val="0"/>
          <w:numId w:val="12"/>
        </w:numPr>
        <w:jc w:val="both"/>
        <w:rPr>
          <w:lang w:val="en-GB"/>
        </w:rPr>
      </w:pPr>
      <w:r w:rsidRPr="00046EBD">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046EBD" w:rsidRPr="00046EBD" w:rsidRDefault="00046EBD" w:rsidP="00046EBD">
      <w:pPr>
        <w:pStyle w:val="ListParagraph"/>
        <w:rPr>
          <w:lang w:val="en-GB"/>
        </w:rPr>
      </w:pPr>
    </w:p>
    <w:p w:rsidR="00046EBD" w:rsidRDefault="00FF3527" w:rsidP="00046EBD">
      <w:pPr>
        <w:pStyle w:val="ListParagraph"/>
        <w:numPr>
          <w:ilvl w:val="0"/>
          <w:numId w:val="12"/>
        </w:numPr>
        <w:jc w:val="both"/>
        <w:rPr>
          <w:lang w:val="en-GB"/>
        </w:rPr>
      </w:pPr>
      <w:r w:rsidRPr="00046EBD">
        <w:rPr>
          <w:lang w:val="en-GB"/>
        </w:rPr>
        <w:t xml:space="preserve">The </w:t>
      </w:r>
      <w:r w:rsidRPr="00046EBD">
        <w:rPr>
          <w:lang w:val="en-GB" w:eastAsia="nl-BE"/>
        </w:rPr>
        <w:t>Panel</w:t>
      </w:r>
      <w:r w:rsidRPr="00046EBD">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046EBD" w:rsidRPr="00046EBD" w:rsidRDefault="00046EBD" w:rsidP="00046EBD">
      <w:pPr>
        <w:pStyle w:val="ListParagraph"/>
        <w:rPr>
          <w:lang w:val="en-GB"/>
        </w:rPr>
      </w:pPr>
    </w:p>
    <w:p w:rsidR="00046EBD" w:rsidRDefault="005125E2" w:rsidP="00046EBD">
      <w:pPr>
        <w:pStyle w:val="ListParagraph"/>
        <w:numPr>
          <w:ilvl w:val="0"/>
          <w:numId w:val="12"/>
        </w:numPr>
        <w:jc w:val="both"/>
        <w:rPr>
          <w:lang w:val="en-GB"/>
        </w:rPr>
      </w:pPr>
      <w:r w:rsidRPr="00046EBD">
        <w:rPr>
          <w:lang w:val="en-GB"/>
        </w:rPr>
        <w:t xml:space="preserve">As regards </w:t>
      </w:r>
      <w:r w:rsidRPr="00E27F0F">
        <w:t>t</w:t>
      </w:r>
      <w:r w:rsidRPr="00046EBD">
        <w:rPr>
          <w:lang w:val="en-GB"/>
        </w:rPr>
        <w:t xml:space="preserve">he applicability of Article 2 to UNMIK, the Panel recalls </w:t>
      </w:r>
      <w:r w:rsidRPr="00046EBD">
        <w:rPr>
          <w:lang w:val="en-GB" w:eastAsia="nl-BE"/>
        </w:rPr>
        <w:t xml:space="preserve">that with the adoption of the UNMIK Regulation No. 1999/1 on 25 July 1999 UNMIK undertook an obligation to observe internationally recognised human rights standards in exercising its </w:t>
      </w:r>
      <w:r w:rsidRPr="00046EBD">
        <w:rPr>
          <w:lang w:val="en-GB"/>
        </w:rPr>
        <w:t>functions</w:t>
      </w:r>
      <w:r w:rsidRPr="00046EBD">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046EBD">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046EBD">
        <w:rPr>
          <w:i/>
          <w:lang w:val="en-GB"/>
        </w:rPr>
        <w:t>Milogorić</w:t>
      </w:r>
      <w:proofErr w:type="spellEnd"/>
      <w:r w:rsidRPr="00046EBD">
        <w:rPr>
          <w:lang w:val="en-GB"/>
        </w:rPr>
        <w:t xml:space="preserve"> </w:t>
      </w:r>
      <w:r w:rsidRPr="00046EBD">
        <w:rPr>
          <w:i/>
          <w:lang w:val="en-GB"/>
        </w:rPr>
        <w:t>and Others,</w:t>
      </w:r>
      <w:r w:rsidRPr="00046EBD">
        <w:rPr>
          <w:lang w:val="en-GB"/>
        </w:rPr>
        <w:t xml:space="preserve"> nos. 38/08 and others, opinion of 24 March 2011, § 44; </w:t>
      </w:r>
      <w:proofErr w:type="spellStart"/>
      <w:r w:rsidRPr="00046EBD">
        <w:rPr>
          <w:i/>
          <w:lang w:val="en-GB"/>
        </w:rPr>
        <w:t>Berisha</w:t>
      </w:r>
      <w:proofErr w:type="spellEnd"/>
      <w:r w:rsidRPr="00046EBD">
        <w:rPr>
          <w:i/>
          <w:lang w:val="en-GB"/>
        </w:rPr>
        <w:t xml:space="preserve"> and Others,</w:t>
      </w:r>
      <w:r w:rsidRPr="00046EBD">
        <w:rPr>
          <w:lang w:val="en-GB"/>
        </w:rPr>
        <w:t xml:space="preserve"> nos. 27/08 and others, opinion of 23 February 2011,</w:t>
      </w:r>
      <w:r w:rsidRPr="00046EBD">
        <w:rPr>
          <w:i/>
          <w:lang w:val="en-GB"/>
        </w:rPr>
        <w:t xml:space="preserve"> </w:t>
      </w:r>
      <w:r w:rsidRPr="00046EBD">
        <w:rPr>
          <w:lang w:val="en-GB"/>
        </w:rPr>
        <w:t xml:space="preserve">§ 25; </w:t>
      </w:r>
      <w:proofErr w:type="spellStart"/>
      <w:r w:rsidRPr="00046EBD">
        <w:rPr>
          <w:i/>
          <w:lang w:val="en-GB"/>
        </w:rPr>
        <w:t>Lalić</w:t>
      </w:r>
      <w:proofErr w:type="spellEnd"/>
      <w:r w:rsidRPr="00046EBD">
        <w:rPr>
          <w:i/>
          <w:lang w:val="en-GB"/>
        </w:rPr>
        <w:t xml:space="preserve"> and Others</w:t>
      </w:r>
      <w:r w:rsidRPr="00046EBD">
        <w:rPr>
          <w:lang w:val="en-GB"/>
        </w:rPr>
        <w:t>, nos. 09/08 and others, opinion of 9 June 2012, § 22).</w:t>
      </w:r>
      <w:bookmarkStart w:id="36" w:name="_Ref366241246"/>
    </w:p>
    <w:p w:rsidR="00046EBD" w:rsidRPr="00046EBD" w:rsidRDefault="00046EBD" w:rsidP="00046EBD">
      <w:pPr>
        <w:pStyle w:val="ListParagraph"/>
        <w:rPr>
          <w:lang w:val="en-GB"/>
        </w:rPr>
      </w:pPr>
    </w:p>
    <w:p w:rsidR="00046EBD" w:rsidRDefault="005125E2" w:rsidP="00046EBD">
      <w:pPr>
        <w:pStyle w:val="ListParagraph"/>
        <w:numPr>
          <w:ilvl w:val="0"/>
          <w:numId w:val="12"/>
        </w:numPr>
        <w:jc w:val="both"/>
        <w:rPr>
          <w:lang w:val="en-GB"/>
        </w:rPr>
      </w:pPr>
      <w:r w:rsidRPr="00046EBD">
        <w:rPr>
          <w:lang w:val="en-GB"/>
        </w:rPr>
        <w:t xml:space="preserve">Concerning the applicability of Article 2 to situations of conflict or generalised violence, the Panel </w:t>
      </w:r>
      <w:r w:rsidRPr="00E27F0F">
        <w:t>recalls</w:t>
      </w:r>
      <w:r w:rsidRPr="00046EBD">
        <w:rPr>
          <w:lang w:val="en-GB"/>
        </w:rPr>
        <w:t xml:space="preserve"> that the European Court o</w:t>
      </w:r>
      <w:r w:rsidR="007F14FA" w:rsidRPr="00046EBD">
        <w:rPr>
          <w:lang w:val="en-GB"/>
        </w:rPr>
        <w:t>f</w:t>
      </w:r>
      <w:r w:rsidRPr="00046EBD">
        <w:rPr>
          <w:lang w:val="en-GB"/>
        </w:rPr>
        <w:t xml:space="preserve"> Human Rights has established the applicability of Article 2 to post-conflict situations, including in countries of the former Yugoslavia (see, among other examples, ECtHR, </w:t>
      </w:r>
      <w:r w:rsidRPr="00046EBD">
        <w:rPr>
          <w:i/>
          <w:lang w:val="en-GB"/>
        </w:rPr>
        <w:t>Palić v. Bosnia and Herzegovina,</w:t>
      </w:r>
      <w:r w:rsidRPr="00046EBD">
        <w:rPr>
          <w:lang w:val="en-GB"/>
        </w:rPr>
        <w:t xml:space="preserve"> cited in § </w:t>
      </w:r>
      <w:r w:rsidR="003A521C">
        <w:t xml:space="preserve">63 </w:t>
      </w:r>
      <w:r w:rsidRPr="00046EBD">
        <w:rPr>
          <w:lang w:val="en-GB"/>
        </w:rPr>
        <w:t xml:space="preserve">above, and ECtHR, </w:t>
      </w:r>
      <w:proofErr w:type="spellStart"/>
      <w:r w:rsidRPr="00046EBD">
        <w:rPr>
          <w:i/>
          <w:lang w:val="en-GB"/>
        </w:rPr>
        <w:t>Jularić</w:t>
      </w:r>
      <w:proofErr w:type="spellEnd"/>
      <w:r w:rsidRPr="00046EBD">
        <w:rPr>
          <w:i/>
          <w:lang w:val="en-GB"/>
        </w:rPr>
        <w:t xml:space="preserve"> v. Croatia</w:t>
      </w:r>
      <w:r w:rsidRPr="00046EBD">
        <w:rPr>
          <w:lang w:val="en-GB"/>
        </w:rPr>
        <w:t xml:space="preserve">, no. 20106/06, judgment of 20 January 2011). The Court has </w:t>
      </w:r>
      <w:r w:rsidRPr="00046EBD">
        <w:rPr>
          <w:lang w:val="en-GB"/>
        </w:rPr>
        <w:lastRenderedPageBreak/>
        <w:t xml:space="preserve">further held that that the procedural obligation under Article 2 continues to apply in “difficult security conditions, including in a </w:t>
      </w:r>
      <w:r w:rsidRPr="000D6BAA">
        <w:rPr>
          <w:lang w:val="en-GB"/>
        </w:rPr>
        <w:t xml:space="preserve">context of armed conflict” (see ECtHR [GC], </w:t>
      </w:r>
      <w:r w:rsidRPr="000D6BAA">
        <w:rPr>
          <w:i/>
          <w:lang w:val="en-GB"/>
        </w:rPr>
        <w:t>Al-</w:t>
      </w:r>
      <w:proofErr w:type="spellStart"/>
      <w:r w:rsidRPr="000D6BAA">
        <w:rPr>
          <w:i/>
          <w:lang w:val="en-GB"/>
        </w:rPr>
        <w:t>Skeini</w:t>
      </w:r>
      <w:proofErr w:type="spellEnd"/>
      <w:r w:rsidRPr="000D6BAA">
        <w:rPr>
          <w:i/>
          <w:lang w:val="en-GB"/>
        </w:rPr>
        <w:t xml:space="preserve"> and Others v. the United Kingdom</w:t>
      </w:r>
      <w:r w:rsidRPr="000D6BAA">
        <w:rPr>
          <w:lang w:val="en-GB"/>
        </w:rPr>
        <w:t xml:space="preserve">, cited in § </w:t>
      </w:r>
      <w:r w:rsidR="003A521C">
        <w:t>82</w:t>
      </w:r>
      <w:r w:rsidRPr="000D6BAA">
        <w:rPr>
          <w:lang w:val="en-GB"/>
        </w:rPr>
        <w:t xml:space="preserve"> above</w:t>
      </w:r>
      <w:r w:rsidRPr="00046EBD">
        <w:rPr>
          <w:lang w:val="en-GB"/>
        </w:rPr>
        <w:t xml:space="preserve">, at § 164; see also ECtHR, </w:t>
      </w:r>
      <w:proofErr w:type="spellStart"/>
      <w:r w:rsidRPr="00046EBD">
        <w:rPr>
          <w:i/>
          <w:lang w:val="en-GB"/>
        </w:rPr>
        <w:t>Güleç</w:t>
      </w:r>
      <w:proofErr w:type="spellEnd"/>
      <w:r w:rsidRPr="00046EBD">
        <w:rPr>
          <w:i/>
          <w:lang w:val="en-GB"/>
        </w:rPr>
        <w:t xml:space="preserve"> v. Turkey</w:t>
      </w:r>
      <w:r w:rsidRPr="00046EBD">
        <w:rPr>
          <w:lang w:val="en-GB"/>
        </w:rPr>
        <w:t>, judgment of 27 July 1998, § 81, Reports 1998-IV; ECtHR,</w:t>
      </w:r>
      <w:r w:rsidRPr="00046EBD">
        <w:rPr>
          <w:i/>
          <w:lang w:val="en-GB"/>
        </w:rPr>
        <w:t xml:space="preserve"> </w:t>
      </w:r>
      <w:proofErr w:type="spellStart"/>
      <w:r w:rsidRPr="00046EBD">
        <w:rPr>
          <w:i/>
          <w:lang w:val="en-GB"/>
        </w:rPr>
        <w:t>Ergi</w:t>
      </w:r>
      <w:proofErr w:type="spellEnd"/>
      <w:r w:rsidRPr="00046EBD">
        <w:rPr>
          <w:i/>
          <w:lang w:val="en-GB"/>
        </w:rPr>
        <w:t xml:space="preserve"> v. Turkey</w:t>
      </w:r>
      <w:r w:rsidRPr="00046EBD">
        <w:rPr>
          <w:lang w:val="en-GB"/>
        </w:rPr>
        <w:t>, judgment of 28 July 1998, §§ 79 and 82, Reports 1998-IV; ECtHR,</w:t>
      </w:r>
      <w:r w:rsidRPr="00046EBD">
        <w:rPr>
          <w:i/>
          <w:lang w:val="en-GB"/>
        </w:rPr>
        <w:t xml:space="preserve"> </w:t>
      </w:r>
      <w:proofErr w:type="spellStart"/>
      <w:r w:rsidRPr="00046EBD">
        <w:rPr>
          <w:i/>
          <w:lang w:val="en-GB"/>
        </w:rPr>
        <w:t>Ahmet</w:t>
      </w:r>
      <w:proofErr w:type="spellEnd"/>
      <w:r w:rsidRPr="00046EBD">
        <w:rPr>
          <w:i/>
          <w:lang w:val="en-GB"/>
        </w:rPr>
        <w:t xml:space="preserve"> </w:t>
      </w:r>
      <w:proofErr w:type="spellStart"/>
      <w:r w:rsidRPr="00046EBD">
        <w:rPr>
          <w:i/>
          <w:lang w:val="en-GB"/>
        </w:rPr>
        <w:t>Özkan</w:t>
      </w:r>
      <w:proofErr w:type="spellEnd"/>
      <w:r w:rsidRPr="00046EBD">
        <w:rPr>
          <w:i/>
          <w:lang w:val="en-GB"/>
        </w:rPr>
        <w:t xml:space="preserve"> and Others v. Turkey</w:t>
      </w:r>
      <w:r w:rsidRPr="00046EBD">
        <w:rPr>
          <w:lang w:val="en-GB"/>
        </w:rPr>
        <w:t xml:space="preserve">, </w:t>
      </w:r>
      <w:r w:rsidR="00CF7241" w:rsidRPr="00046EBD">
        <w:rPr>
          <w:lang w:val="en-GB"/>
        </w:rPr>
        <w:t xml:space="preserve">cited in § </w:t>
      </w:r>
      <w:r w:rsidR="003A521C">
        <w:t>77</w:t>
      </w:r>
      <w:r w:rsidR="00CF7241" w:rsidRPr="00046EBD">
        <w:rPr>
          <w:lang w:val="en-GB"/>
        </w:rPr>
        <w:t xml:space="preserve"> above</w:t>
      </w:r>
      <w:r w:rsidRPr="00046EBD">
        <w:rPr>
          <w:lang w:val="en-GB"/>
        </w:rPr>
        <w:t>, at §§ 85-90, 309-320 and 326-330;</w:t>
      </w:r>
      <w:r w:rsidRPr="00046EBD">
        <w:rPr>
          <w:i/>
          <w:lang w:val="en-GB"/>
        </w:rPr>
        <w:t xml:space="preserve"> </w:t>
      </w:r>
      <w:proofErr w:type="spellStart"/>
      <w:r w:rsidRPr="00046EBD">
        <w:rPr>
          <w:i/>
          <w:lang w:val="en-GB"/>
        </w:rPr>
        <w:t>Isayeva</w:t>
      </w:r>
      <w:proofErr w:type="spellEnd"/>
      <w:r w:rsidRPr="00046EBD">
        <w:rPr>
          <w:i/>
          <w:lang w:val="en-GB"/>
        </w:rPr>
        <w:t xml:space="preserve"> v. Russia</w:t>
      </w:r>
      <w:r w:rsidRPr="00046EBD">
        <w:rPr>
          <w:lang w:val="en-GB"/>
        </w:rPr>
        <w:t xml:space="preserve">, </w:t>
      </w:r>
      <w:r w:rsidR="00CF7241" w:rsidRPr="00046EBD">
        <w:rPr>
          <w:lang w:val="en-GB"/>
        </w:rPr>
        <w:t xml:space="preserve">cited in § </w:t>
      </w:r>
      <w:r w:rsidR="003A521C">
        <w:t>77</w:t>
      </w:r>
      <w:r w:rsidR="000D6BAA">
        <w:t xml:space="preserve"> </w:t>
      </w:r>
      <w:r w:rsidR="00CF7241" w:rsidRPr="00046EBD">
        <w:rPr>
          <w:lang w:val="en-GB"/>
        </w:rPr>
        <w:t>above</w:t>
      </w:r>
      <w:r w:rsidRPr="00046EBD">
        <w:rPr>
          <w:lang w:val="en-GB"/>
        </w:rPr>
        <w:t xml:space="preserve">, at §§ 180 and 210; ECtHR, </w:t>
      </w:r>
      <w:proofErr w:type="spellStart"/>
      <w:r w:rsidRPr="00046EBD">
        <w:rPr>
          <w:i/>
          <w:lang w:val="en-GB"/>
        </w:rPr>
        <w:t>Kanlibaş</w:t>
      </w:r>
      <w:proofErr w:type="spellEnd"/>
      <w:r w:rsidRPr="00046EBD">
        <w:rPr>
          <w:i/>
          <w:lang w:val="en-GB"/>
        </w:rPr>
        <w:t xml:space="preserve"> v. Turkey</w:t>
      </w:r>
      <w:r w:rsidRPr="00046EBD">
        <w:rPr>
          <w:lang w:val="en-GB"/>
        </w:rPr>
        <w:t>, no. 32444/96, judgment of 8 December 2005, §§ 39-51).</w:t>
      </w:r>
      <w:bookmarkEnd w:id="36"/>
      <w:r w:rsidRPr="00046EBD">
        <w:rPr>
          <w:lang w:val="en-GB"/>
        </w:rPr>
        <w:t xml:space="preserve"> </w:t>
      </w:r>
      <w:bookmarkStart w:id="37" w:name="_Ref366241459"/>
    </w:p>
    <w:p w:rsidR="00046EBD" w:rsidRDefault="00046EBD" w:rsidP="00046EBD">
      <w:pPr>
        <w:pStyle w:val="ListParagraph"/>
        <w:ind w:left="360"/>
        <w:jc w:val="both"/>
        <w:rPr>
          <w:lang w:val="en-GB"/>
        </w:rPr>
      </w:pPr>
    </w:p>
    <w:p w:rsidR="00046EBD" w:rsidRDefault="005125E2" w:rsidP="00046EBD">
      <w:pPr>
        <w:pStyle w:val="ListParagraph"/>
        <w:numPr>
          <w:ilvl w:val="0"/>
          <w:numId w:val="12"/>
        </w:numPr>
        <w:jc w:val="both"/>
        <w:rPr>
          <w:lang w:val="en-GB"/>
        </w:rPr>
      </w:pPr>
      <w:r w:rsidRPr="00046EBD">
        <w:rPr>
          <w:lang w:val="en-GB"/>
        </w:rPr>
        <w:t xml:space="preserve">The Court has acknowledged that “where the death to be investigated under </w:t>
      </w:r>
      <w:r w:rsidR="007F14FA" w:rsidRPr="00046EBD">
        <w:rPr>
          <w:lang w:val="en-GB"/>
        </w:rPr>
        <w:t xml:space="preserve">Article 2 occurs in circumstances of generalised violence, armed conflict or insurgency, obstacles may be placed in the way of investigators and […] concrete </w:t>
      </w:r>
      <w:r w:rsidRPr="00046EBD">
        <w:rPr>
          <w:lang w:val="en-GB"/>
        </w:rPr>
        <w:t xml:space="preserve">constraints </w:t>
      </w:r>
      <w:r w:rsidRPr="00E27F0F">
        <w:t>may</w:t>
      </w:r>
      <w:r w:rsidRPr="00046EBD">
        <w:rPr>
          <w:lang w:val="en-GB"/>
        </w:rPr>
        <w:t xml:space="preserve"> compel the use of less effective measures of investigation or may cause an investigation to be delayed” (see, ECtHR [GC], </w:t>
      </w:r>
      <w:r w:rsidRPr="00046EBD">
        <w:rPr>
          <w:i/>
          <w:lang w:val="en-GB"/>
        </w:rPr>
        <w:t>Al-</w:t>
      </w:r>
      <w:proofErr w:type="spellStart"/>
      <w:r w:rsidRPr="00046EBD">
        <w:rPr>
          <w:i/>
          <w:lang w:val="en-GB"/>
        </w:rPr>
        <w:t>Skeini</w:t>
      </w:r>
      <w:proofErr w:type="spellEnd"/>
      <w:r w:rsidRPr="00046EBD">
        <w:rPr>
          <w:i/>
          <w:lang w:val="en-GB"/>
        </w:rPr>
        <w:t xml:space="preserve"> and Others v. the United Kingdom, </w:t>
      </w:r>
      <w:r w:rsidRPr="00046EBD">
        <w:rPr>
          <w:lang w:val="en-GB"/>
        </w:rPr>
        <w:t>cited above, at §164;</w:t>
      </w:r>
      <w:r w:rsidRPr="00046EBD">
        <w:rPr>
          <w:i/>
          <w:lang w:val="en-GB"/>
        </w:rPr>
        <w:t xml:space="preserve"> </w:t>
      </w:r>
      <w:r w:rsidRPr="00046EBD">
        <w:rPr>
          <w:lang w:val="en-GB"/>
        </w:rPr>
        <w:t>ECtHR,</w:t>
      </w:r>
      <w:r w:rsidRPr="00046EBD">
        <w:rPr>
          <w:i/>
          <w:lang w:val="en-GB"/>
        </w:rPr>
        <w:t xml:space="preserve"> Bazorkina v. Russia</w:t>
      </w:r>
      <w:r w:rsidRPr="00046EBD">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w:t>
      </w:r>
      <w:r w:rsidRPr="000D6BAA">
        <w:rPr>
          <w:lang w:val="en-GB"/>
        </w:rPr>
        <w:t xml:space="preserve">examples, ECtHR, </w:t>
      </w:r>
      <w:r w:rsidRPr="000D6BAA">
        <w:rPr>
          <w:i/>
          <w:lang w:val="en-GB"/>
        </w:rPr>
        <w:t>Kaya v. Turkey</w:t>
      </w:r>
      <w:r w:rsidRPr="000D6BAA">
        <w:rPr>
          <w:lang w:val="en-GB"/>
        </w:rPr>
        <w:t xml:space="preserve">, cited in § </w:t>
      </w:r>
      <w:r w:rsidR="000D6BAA" w:rsidRPr="000D6BAA">
        <w:t>67</w:t>
      </w:r>
      <w:r w:rsidR="00CF7241" w:rsidRPr="000D6BAA">
        <w:rPr>
          <w:lang w:val="en-GB"/>
        </w:rPr>
        <w:t xml:space="preserve"> </w:t>
      </w:r>
      <w:r w:rsidRPr="000D6BAA">
        <w:rPr>
          <w:lang w:val="en-GB"/>
        </w:rPr>
        <w:t>above, at §§ 86</w:t>
      </w:r>
      <w:r w:rsidRPr="000D6BAA">
        <w:rPr>
          <w:lang w:val="en-GB"/>
        </w:rPr>
        <w:noBreakHyphen/>
        <w:t xml:space="preserve">92; ECtHR, </w:t>
      </w:r>
      <w:proofErr w:type="spellStart"/>
      <w:r w:rsidRPr="000D6BAA">
        <w:rPr>
          <w:i/>
          <w:lang w:val="en-GB"/>
        </w:rPr>
        <w:t>Ergi</w:t>
      </w:r>
      <w:proofErr w:type="spellEnd"/>
      <w:r w:rsidR="00347A90" w:rsidRPr="000D6BAA">
        <w:rPr>
          <w:i/>
          <w:lang w:val="en-GB"/>
        </w:rPr>
        <w:t xml:space="preserve"> v Turkey</w:t>
      </w:r>
      <w:r w:rsidRPr="000D6BAA">
        <w:rPr>
          <w:i/>
          <w:lang w:val="en-GB"/>
        </w:rPr>
        <w:t xml:space="preserve">, </w:t>
      </w:r>
      <w:r w:rsidRPr="000D6BAA">
        <w:rPr>
          <w:lang w:val="en-GB"/>
        </w:rPr>
        <w:t xml:space="preserve">cited above, at §§ 82-85; ECtHR [GC], </w:t>
      </w:r>
      <w:proofErr w:type="spellStart"/>
      <w:r w:rsidRPr="000D6BAA">
        <w:rPr>
          <w:i/>
          <w:lang w:val="en-GB"/>
        </w:rPr>
        <w:t>Tanrıkulu</w:t>
      </w:r>
      <w:proofErr w:type="spellEnd"/>
      <w:r w:rsidRPr="000D6BAA">
        <w:rPr>
          <w:i/>
          <w:lang w:val="en-GB"/>
        </w:rPr>
        <w:t xml:space="preserve"> v. Turkey</w:t>
      </w:r>
      <w:r w:rsidRPr="000D6BAA">
        <w:rPr>
          <w:lang w:val="en-GB"/>
        </w:rPr>
        <w:t xml:space="preserve">, no. 23763/94, judgment of 8 July 1999, §§ 101-110, ECHR 1999-IV; ECtHR, </w:t>
      </w:r>
      <w:proofErr w:type="spellStart"/>
      <w:r w:rsidRPr="000D6BAA">
        <w:rPr>
          <w:i/>
          <w:lang w:val="en-GB"/>
        </w:rPr>
        <w:t>Khashiyev</w:t>
      </w:r>
      <w:proofErr w:type="spellEnd"/>
      <w:r w:rsidRPr="000D6BAA">
        <w:rPr>
          <w:i/>
          <w:lang w:val="en-GB"/>
        </w:rPr>
        <w:t xml:space="preserve"> and </w:t>
      </w:r>
      <w:proofErr w:type="spellStart"/>
      <w:r w:rsidRPr="000D6BAA">
        <w:rPr>
          <w:i/>
          <w:lang w:val="en-GB"/>
        </w:rPr>
        <w:t>Akayeva</w:t>
      </w:r>
      <w:proofErr w:type="spellEnd"/>
      <w:r w:rsidRPr="000D6BAA">
        <w:rPr>
          <w:i/>
          <w:lang w:val="en-GB"/>
        </w:rPr>
        <w:t xml:space="preserve"> v. Russia</w:t>
      </w:r>
      <w:r w:rsidRPr="000D6BAA">
        <w:rPr>
          <w:lang w:val="en-GB"/>
        </w:rPr>
        <w:t xml:space="preserve">, nos. 57942/00 and 57945/00, judgment of 24 February 2005, §§ 156-166; ECtHR, </w:t>
      </w:r>
      <w:proofErr w:type="spellStart"/>
      <w:r w:rsidRPr="000D6BAA">
        <w:rPr>
          <w:i/>
          <w:lang w:val="en-GB"/>
        </w:rPr>
        <w:t>Isayeva</w:t>
      </w:r>
      <w:proofErr w:type="spellEnd"/>
      <w:r w:rsidRPr="000D6BAA">
        <w:rPr>
          <w:i/>
          <w:lang w:val="en-GB"/>
        </w:rPr>
        <w:t xml:space="preserve"> v. Russia</w:t>
      </w:r>
      <w:r w:rsidRPr="000D6BAA">
        <w:rPr>
          <w:lang w:val="en-GB"/>
        </w:rPr>
        <w:t>, cited above, at §§ 215</w:t>
      </w:r>
      <w:r w:rsidRPr="000D6BAA">
        <w:rPr>
          <w:lang w:val="en-GB"/>
        </w:rPr>
        <w:noBreakHyphen/>
        <w:t xml:space="preserve">224; ECtHR, </w:t>
      </w:r>
      <w:proofErr w:type="spellStart"/>
      <w:r w:rsidRPr="000D6BAA">
        <w:rPr>
          <w:i/>
          <w:lang w:val="en-GB"/>
        </w:rPr>
        <w:t>Musayev</w:t>
      </w:r>
      <w:proofErr w:type="spellEnd"/>
      <w:r w:rsidRPr="000D6BAA">
        <w:rPr>
          <w:i/>
          <w:lang w:val="en-GB"/>
        </w:rPr>
        <w:t xml:space="preserve"> and Others v. Russia</w:t>
      </w:r>
      <w:r w:rsidRPr="000D6BAA">
        <w:rPr>
          <w:lang w:val="en-GB"/>
        </w:rPr>
        <w:t>, nos. 57941/00 and others, judgment of 26 July 2007, §§ 158-165).</w:t>
      </w:r>
      <w:bookmarkEnd w:id="37"/>
      <w:r w:rsidRPr="00046EBD">
        <w:rPr>
          <w:lang w:val="en-GB"/>
        </w:rPr>
        <w:t xml:space="preserve"> </w:t>
      </w:r>
    </w:p>
    <w:p w:rsidR="00046EBD" w:rsidRDefault="00046EBD" w:rsidP="00046EBD">
      <w:pPr>
        <w:pStyle w:val="ListParagraph"/>
        <w:ind w:left="360"/>
        <w:jc w:val="both"/>
        <w:rPr>
          <w:lang w:val="en-GB"/>
        </w:rPr>
      </w:pPr>
    </w:p>
    <w:p w:rsidR="00046EBD" w:rsidRDefault="005125E2" w:rsidP="00046EBD">
      <w:pPr>
        <w:pStyle w:val="ListParagraph"/>
        <w:numPr>
          <w:ilvl w:val="0"/>
          <w:numId w:val="12"/>
        </w:numPr>
        <w:jc w:val="both"/>
        <w:rPr>
          <w:lang w:val="en-GB"/>
        </w:rPr>
      </w:pPr>
      <w:r w:rsidRPr="00046EBD">
        <w:rPr>
          <w:lang w:val="en-GB"/>
        </w:rPr>
        <w:t xml:space="preserve">Similarly, the HRC has held that the right to life, including its procedural guarantees, shall be </w:t>
      </w:r>
      <w:r w:rsidRPr="00E27F0F">
        <w:t>considered</w:t>
      </w:r>
      <w:r w:rsidRPr="00046EBD">
        <w:rPr>
          <w:lang w:val="en-GB"/>
        </w:rPr>
        <w:t xml:space="preserve"> as the supreme right from which no derogation is permitted even in time of public emergency which threatens the life of the nation (see, HRC, General Comment No. 6, cited in § </w:t>
      </w:r>
      <w:r w:rsidR="00311875">
        <w:t>67</w:t>
      </w:r>
      <w:r w:rsidR="007F14FA" w:rsidRPr="00046EBD">
        <w:rPr>
          <w:lang w:val="en-GB"/>
        </w:rPr>
        <w:t xml:space="preserve"> </w:t>
      </w:r>
      <w:r w:rsidRPr="00046EBD">
        <w:rPr>
          <w:lang w:val="en-GB"/>
        </w:rPr>
        <w:t xml:space="preserve">above, at § 1; HRC, </w:t>
      </w:r>
      <w:r w:rsidRPr="00046EBD">
        <w:rPr>
          <w:i/>
          <w:lang w:val="en-GB"/>
        </w:rPr>
        <w:t>Abubakar Amirov and Aïzan Amirova v. R</w:t>
      </w:r>
      <w:r w:rsidRPr="000D6BAA">
        <w:rPr>
          <w:i/>
          <w:lang w:val="en-GB"/>
        </w:rPr>
        <w:t xml:space="preserve">ussian </w:t>
      </w:r>
      <w:r w:rsidRPr="00046EBD">
        <w:rPr>
          <w:i/>
          <w:lang w:val="en-GB"/>
        </w:rPr>
        <w:t>Federation</w:t>
      </w:r>
      <w:r w:rsidRPr="00046EBD">
        <w:rPr>
          <w:lang w:val="en-GB"/>
        </w:rPr>
        <w:t xml:space="preserve">, communication no. 1447/2006, views of 22 April 2009, § 11.2, </w:t>
      </w:r>
      <w:r w:rsidRPr="00046EBD">
        <w:rPr>
          <w:bCs/>
          <w:lang w:val="en-GB"/>
        </w:rPr>
        <w:t>CCPR/C/95/D/1447/2006</w:t>
      </w:r>
      <w:r w:rsidRPr="00046EBD">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38" w:name="_Ref343611663"/>
    </w:p>
    <w:p w:rsidR="00046EBD" w:rsidRPr="00046EBD" w:rsidRDefault="00046EBD" w:rsidP="00046EBD">
      <w:pPr>
        <w:pStyle w:val="ListParagraph"/>
        <w:rPr>
          <w:lang w:val="en-GB"/>
        </w:rPr>
      </w:pPr>
    </w:p>
    <w:p w:rsidR="00046EBD" w:rsidRPr="000D6BAA" w:rsidRDefault="005125E2" w:rsidP="00046EBD">
      <w:pPr>
        <w:pStyle w:val="ListParagraph"/>
        <w:numPr>
          <w:ilvl w:val="0"/>
          <w:numId w:val="12"/>
        </w:numPr>
        <w:jc w:val="both"/>
        <w:rPr>
          <w:lang w:val="en-GB"/>
        </w:rPr>
      </w:pPr>
      <w:r w:rsidRPr="00046EBD">
        <w:rPr>
          <w:lang w:val="en-GB"/>
        </w:rPr>
        <w:t xml:space="preserve">The Panel appreciates the difficulties encountered by UNMIK during the first phase of its </w:t>
      </w:r>
      <w:r w:rsidRPr="00E27F0F">
        <w:t>deployment</w:t>
      </w:r>
      <w:r w:rsidRPr="00046EBD">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w:t>
      </w:r>
      <w:r w:rsidRPr="00046EBD">
        <w:rPr>
          <w:lang w:val="en-GB"/>
        </w:rPr>
        <w:lastRenderedPageBreak/>
        <w:t xml:space="preserve">units of UNMIK Police. Such a system should also take account of the protection needs of victims and witnesses (see, </w:t>
      </w:r>
      <w:r w:rsidRPr="00046EBD">
        <w:rPr>
          <w:i/>
          <w:lang w:val="en-GB"/>
        </w:rPr>
        <w:t>mutatis mutandis</w:t>
      </w:r>
      <w:r w:rsidRPr="00046EBD">
        <w:rPr>
          <w:lang w:val="en-GB"/>
        </w:rPr>
        <w:t xml:space="preserve">, ECtHR, </w:t>
      </w:r>
      <w:r w:rsidRPr="00046EBD">
        <w:rPr>
          <w:i/>
          <w:lang w:val="en-GB"/>
        </w:rPr>
        <w:t>R.R. and Others v. Hungary</w:t>
      </w:r>
      <w:r w:rsidRPr="00046EBD">
        <w:rPr>
          <w:lang w:val="en-GB"/>
        </w:rPr>
        <w:t xml:space="preserve">, no. 19400/11, judgment of 4 December 2012, §§ 28-32), as well as to consider the special vulnerability of displaced persons in post-conflict situations (see ECtHR [GC], </w:t>
      </w:r>
      <w:proofErr w:type="spellStart"/>
      <w:r w:rsidRPr="00046EBD">
        <w:rPr>
          <w:i/>
          <w:lang w:val="en-GB"/>
        </w:rPr>
        <w:t>Sargsyan</w:t>
      </w:r>
      <w:proofErr w:type="spellEnd"/>
      <w:r w:rsidRPr="00046EBD">
        <w:rPr>
          <w:i/>
          <w:lang w:val="en-GB"/>
        </w:rPr>
        <w:t xml:space="preserve"> v. Azerbaijan, </w:t>
      </w:r>
      <w:r w:rsidRPr="00046EBD">
        <w:rPr>
          <w:lang w:val="en-GB"/>
        </w:rPr>
        <w:t xml:space="preserve">no. 40167/06, decision of 14 December 2011, § 145; and ECtHR [GC], </w:t>
      </w:r>
      <w:proofErr w:type="spellStart"/>
      <w:r w:rsidRPr="00046EBD">
        <w:rPr>
          <w:i/>
          <w:lang w:val="en-GB"/>
        </w:rPr>
        <w:t>Chiragov</w:t>
      </w:r>
      <w:proofErr w:type="spellEnd"/>
      <w:r w:rsidRPr="00046EBD">
        <w:rPr>
          <w:i/>
          <w:lang w:val="en-GB"/>
        </w:rPr>
        <w:t xml:space="preserve"> and Others v. Armenia</w:t>
      </w:r>
      <w:r w:rsidRPr="00046EBD">
        <w:rPr>
          <w:lang w:val="en-GB"/>
        </w:rPr>
        <w:t xml:space="preserve">, no. 13216/05, decision of 14 December 2011, § 146). While understanding that the deployment and the organisation of the police and justice apparatus </w:t>
      </w:r>
      <w:r w:rsidRPr="000D6BAA">
        <w:rPr>
          <w:lang w:val="en-GB"/>
        </w:rPr>
        <w:t xml:space="preserve">occurred gradually, the Panel deems that this process was completed in 2003 when the police and justice system in Kosovo was described as being “well-functioning” and “sustainable” by the UN Secretary-General (see § </w:t>
      </w:r>
      <w:r w:rsidR="005E4D0E" w:rsidRPr="000D6BAA">
        <w:t>17</w:t>
      </w:r>
      <w:r w:rsidRPr="000D6BAA">
        <w:rPr>
          <w:lang w:val="en-GB"/>
        </w:rPr>
        <w:t xml:space="preserve"> above).</w:t>
      </w:r>
      <w:bookmarkStart w:id="39" w:name="_Ref366163789"/>
      <w:bookmarkEnd w:id="38"/>
    </w:p>
    <w:p w:rsidR="00046EBD" w:rsidRDefault="00046EBD" w:rsidP="00046EBD">
      <w:pPr>
        <w:pStyle w:val="ListParagraph"/>
        <w:ind w:left="360"/>
        <w:jc w:val="both"/>
        <w:rPr>
          <w:lang w:val="en-GB"/>
        </w:rPr>
      </w:pPr>
    </w:p>
    <w:p w:rsidR="00046EBD" w:rsidRDefault="005125E2" w:rsidP="00046EBD">
      <w:pPr>
        <w:pStyle w:val="ListParagraph"/>
        <w:numPr>
          <w:ilvl w:val="0"/>
          <w:numId w:val="12"/>
        </w:numPr>
        <w:jc w:val="both"/>
        <w:rPr>
          <w:rStyle w:val="sb8d990e2"/>
          <w:lang w:val="en-GB"/>
        </w:rPr>
      </w:pPr>
      <w:r w:rsidRPr="00046EBD">
        <w:rPr>
          <w:rStyle w:val="sb8d990e2"/>
          <w:lang w:val="en-GB"/>
        </w:rPr>
        <w:t xml:space="preserve">The Panel </w:t>
      </w:r>
      <w:r w:rsidRPr="001F7985">
        <w:t>further</w:t>
      </w:r>
      <w:r w:rsidRPr="00046EBD">
        <w:rPr>
          <w:rStyle w:val="sb8d990e2"/>
          <w:lang w:val="en-GB"/>
        </w:rPr>
        <w:t xml:space="preserve"> notes that its task is not to review relevant practices or alleged obstacles to the conduct of effective investigations </w:t>
      </w:r>
      <w:r w:rsidRPr="00046EBD">
        <w:rPr>
          <w:rStyle w:val="s6b621b36"/>
          <w:i/>
          <w:lang w:val="en-GB"/>
        </w:rPr>
        <w:t xml:space="preserve">in </w:t>
      </w:r>
      <w:r w:rsidRPr="00046EBD">
        <w:rPr>
          <w:rStyle w:val="wordhighlighted"/>
          <w:i/>
          <w:lang w:val="en-GB"/>
        </w:rPr>
        <w:t>abstracto</w:t>
      </w:r>
      <w:r w:rsidRPr="00046EBD">
        <w:rPr>
          <w:rStyle w:val="sb8d990e2"/>
          <w:lang w:val="en-GB"/>
        </w:rPr>
        <w:t>, but only in relation to their specific </w:t>
      </w:r>
      <w:r w:rsidRPr="00E27F0F">
        <w:t>application</w:t>
      </w:r>
      <w:r w:rsidRPr="00046EBD">
        <w:rPr>
          <w:rStyle w:val="sb8d990e2"/>
          <w:lang w:val="en-GB"/>
        </w:rPr>
        <w:t xml:space="preserve"> to the particular circumstances of a situation subject of a complaint before it (see, ECtHR, </w:t>
      </w:r>
      <w:r w:rsidRPr="00046EBD">
        <w:rPr>
          <w:rStyle w:val="s6b621b36"/>
          <w:i/>
          <w:lang w:val="en-GB"/>
        </w:rPr>
        <w:t>Brogan and Others v. the United Kingdom</w:t>
      </w:r>
      <w:r w:rsidRPr="00046EBD">
        <w:rPr>
          <w:rStyle w:val="sb8d990e2"/>
          <w:lang w:val="en-GB"/>
        </w:rPr>
        <w:t xml:space="preserve">, </w:t>
      </w:r>
      <w:r w:rsidRPr="00046EBD">
        <w:rPr>
          <w:rStyle w:val="column01"/>
          <w:lang w:val="en-GB"/>
        </w:rPr>
        <w:t>judgment of</w:t>
      </w:r>
      <w:r w:rsidRPr="00046EBD">
        <w:rPr>
          <w:rStyle w:val="sb8d990e2"/>
          <w:lang w:val="en-GB"/>
        </w:rPr>
        <w:t xml:space="preserve"> 29 November 1988,</w:t>
      </w:r>
      <w:r w:rsidRPr="00046EBD">
        <w:rPr>
          <w:lang w:val="en-GB"/>
        </w:rPr>
        <w:t xml:space="preserve"> </w:t>
      </w:r>
      <w:r w:rsidRPr="00046EBD">
        <w:rPr>
          <w:rStyle w:val="sb8d990e2"/>
          <w:lang w:val="en-GB"/>
        </w:rPr>
        <w:t xml:space="preserve">§ 53, Series A no. 145-B). </w:t>
      </w:r>
      <w:r w:rsidRPr="00046EBD">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046EBD">
        <w:rPr>
          <w:rStyle w:val="sb8d990e2"/>
          <w:lang w:val="en-GB"/>
        </w:rPr>
        <w:t>For these reasons, the Panel considers that it will establish with regard to each case if all reasonable steps were taken to conduct an effective investigation as prescribed by Article 2,</w:t>
      </w:r>
      <w:r w:rsidRPr="00046EBD">
        <w:rPr>
          <w:lang w:val="en-GB"/>
        </w:rPr>
        <w:t xml:space="preserve"> </w:t>
      </w:r>
      <w:r w:rsidRPr="00046EBD">
        <w:rPr>
          <w:rStyle w:val="sb8d990e2"/>
          <w:lang w:val="en-GB"/>
        </w:rPr>
        <w:t>having regard to the realities of the investigative work in Kosovo.</w:t>
      </w:r>
      <w:bookmarkEnd w:id="39"/>
    </w:p>
    <w:p w:rsidR="00046EBD" w:rsidRDefault="00046EBD" w:rsidP="00046EBD">
      <w:pPr>
        <w:pStyle w:val="ListParagraph"/>
      </w:pPr>
    </w:p>
    <w:p w:rsidR="00046EBD" w:rsidRPr="00046EBD" w:rsidRDefault="008856A3" w:rsidP="00046EBD">
      <w:pPr>
        <w:pStyle w:val="ListParagraph"/>
        <w:numPr>
          <w:ilvl w:val="0"/>
          <w:numId w:val="12"/>
        </w:numPr>
        <w:jc w:val="both"/>
        <w:rPr>
          <w:lang w:val="en-GB"/>
        </w:rPr>
      </w:pPr>
      <w:r w:rsidRPr="001F7985">
        <w:t xml:space="preserve">Lastly, in response to the SRSG’s objection that Article 2 must be interpreted in a way which </w:t>
      </w:r>
      <w:r w:rsidRPr="00046EBD">
        <w:rPr>
          <w:lang w:val="en-GB"/>
        </w:rPr>
        <w:t>does</w:t>
      </w:r>
      <w:r w:rsidRPr="001F7985">
        <w:t xml:space="preserve"> not </w:t>
      </w:r>
      <w:r w:rsidRPr="00046EBD">
        <w:rPr>
          <w:lang w:val="en-GB"/>
        </w:rPr>
        <w:t>impose</w:t>
      </w:r>
      <w:r w:rsidRPr="001F7985">
        <w:t xml:space="preserve"> an impossible or disproportionate burden on the authorities, either in the context of </w:t>
      </w:r>
      <w:r w:rsidR="006E22C0" w:rsidRPr="001F7985">
        <w:t>policing</w:t>
      </w:r>
      <w:r w:rsidRPr="00046EBD">
        <w:rPr>
          <w:lang w:val="en-GB"/>
        </w:rPr>
        <w:t>g</w:t>
      </w:r>
      <w:r w:rsidRPr="001F7985">
        <w:t xml:space="preserve"> activities or that of priorities and resources, the Panel takes into account that the European Court has </w:t>
      </w:r>
      <w:r w:rsidRPr="000D6BAA">
        <w:t xml:space="preserve">established that what amounts to an impossible and/or disproportionate burden must be measured by the very particular facts and contexts (see ECtHR, </w:t>
      </w:r>
      <w:r w:rsidRPr="000D6BAA">
        <w:rPr>
          <w:i/>
        </w:rPr>
        <w:t>Palić v. Bosnia and Herzegovina,</w:t>
      </w:r>
      <w:r w:rsidRPr="000D6BAA">
        <w:t xml:space="preserve"> cited in § </w:t>
      </w:r>
      <w:r w:rsidR="003A521C">
        <w:t>63</w:t>
      </w:r>
      <w:r w:rsidRPr="000D6BAA">
        <w:t xml:space="preserve"> above, at § 70; </w:t>
      </w:r>
      <w:proofErr w:type="spellStart"/>
      <w:r w:rsidRPr="000D6BAA">
        <w:rPr>
          <w:i/>
        </w:rPr>
        <w:t>Brecknell</w:t>
      </w:r>
      <w:proofErr w:type="spellEnd"/>
      <w:r w:rsidRPr="000D6BAA">
        <w:rPr>
          <w:i/>
        </w:rPr>
        <w:t xml:space="preserve"> v. The United Kingdom,</w:t>
      </w:r>
      <w:r w:rsidRPr="000D6BAA">
        <w:t xml:space="preserve"> no. 32457/04, </w:t>
      </w:r>
      <w:r w:rsidR="00074D6B" w:rsidRPr="000D6BAA">
        <w:t xml:space="preserve">judgment of </w:t>
      </w:r>
      <w:r w:rsidRPr="000D6BAA">
        <w:t>27 November 2007, § 62)</w:t>
      </w:r>
      <w:r w:rsidR="002D4ED0" w:rsidRPr="000D6BAA">
        <w:t>.</w:t>
      </w:r>
    </w:p>
    <w:p w:rsidR="00046EBD" w:rsidRPr="00046EBD" w:rsidRDefault="00046EBD" w:rsidP="00046EBD">
      <w:pPr>
        <w:pStyle w:val="ListParagraph"/>
        <w:rPr>
          <w:lang w:val="en-GB"/>
        </w:rPr>
      </w:pPr>
    </w:p>
    <w:p w:rsidR="00046EBD" w:rsidRPr="00B202AE" w:rsidRDefault="00046EBD" w:rsidP="00B202AE">
      <w:pPr>
        <w:pStyle w:val="ListParagraph"/>
        <w:numPr>
          <w:ilvl w:val="0"/>
          <w:numId w:val="7"/>
        </w:numPr>
        <w:contextualSpacing/>
        <w:jc w:val="both"/>
        <w:rPr>
          <w:i/>
          <w:lang w:val="en-GB"/>
        </w:rPr>
      </w:pPr>
      <w:r w:rsidRPr="00B202AE">
        <w:rPr>
          <w:i/>
          <w:lang w:val="en-GB"/>
        </w:rPr>
        <w:t>Compliance with Article 2 in the present case</w:t>
      </w:r>
    </w:p>
    <w:p w:rsidR="00046EBD" w:rsidRPr="00046EBD" w:rsidRDefault="00046EBD" w:rsidP="00046EBD">
      <w:pPr>
        <w:pStyle w:val="ListParagraph"/>
        <w:rPr>
          <w:lang w:val="en-GB"/>
        </w:rPr>
      </w:pPr>
    </w:p>
    <w:p w:rsidR="008E02C0" w:rsidRPr="00D87FFC" w:rsidRDefault="008E02C0" w:rsidP="008E02C0">
      <w:pPr>
        <w:pStyle w:val="ListParagraph"/>
        <w:numPr>
          <w:ilvl w:val="0"/>
          <w:numId w:val="12"/>
        </w:numPr>
        <w:suppressAutoHyphens w:val="0"/>
        <w:jc w:val="both"/>
        <w:rPr>
          <w:lang w:eastAsia="nl-NL"/>
        </w:rPr>
      </w:pPr>
      <w:bookmarkStart w:id="40" w:name="_Ref379796585"/>
      <w:r w:rsidRPr="00D87FFC">
        <w:rPr>
          <w:lang w:val="en-GB"/>
        </w:rPr>
        <w:t>T</w:t>
      </w:r>
      <w:r w:rsidRPr="00D87FFC">
        <w:t>he SRSG in essence states that, from the documentation contained in the investigative file, it is not possible to establish what was done by the UNMIK Police to investigate the disappearance of Mr</w:t>
      </w:r>
      <w:r w:rsidRPr="00D87FFC">
        <w:rPr>
          <w:color w:val="000000"/>
          <w:lang w:val="en-GB" w:eastAsia="nl-NL"/>
        </w:rPr>
        <w:t xml:space="preserve"> </w:t>
      </w:r>
      <w:proofErr w:type="spellStart"/>
      <w:r w:rsidRPr="00D87FFC">
        <w:rPr>
          <w:color w:val="000000"/>
          <w:lang w:val="en-GB" w:eastAsia="nl-NL"/>
        </w:rPr>
        <w:t>Mlađan</w:t>
      </w:r>
      <w:proofErr w:type="spellEnd"/>
      <w:r w:rsidRPr="00D87FFC">
        <w:rPr>
          <w:color w:val="000000"/>
          <w:lang w:val="en-GB" w:eastAsia="nl-NL"/>
        </w:rPr>
        <w:t xml:space="preserve"> </w:t>
      </w:r>
      <w:proofErr w:type="spellStart"/>
      <w:r w:rsidRPr="00D87FFC">
        <w:rPr>
          <w:color w:val="000000"/>
          <w:lang w:val="en-GB" w:eastAsia="nl-NL"/>
        </w:rPr>
        <w:t>Mavrić</w:t>
      </w:r>
      <w:proofErr w:type="spellEnd"/>
      <w:r w:rsidRPr="00D87FFC">
        <w:t>. For this reason, he is not in a position to provide comments as to whether UNMIK conducted an effective investigation in this case.</w:t>
      </w:r>
      <w:r w:rsidRPr="00D87FFC">
        <w:rPr>
          <w:lang w:val="en-GB"/>
        </w:rPr>
        <w:t xml:space="preserve"> </w:t>
      </w:r>
    </w:p>
    <w:p w:rsidR="008E02C0" w:rsidRDefault="008E02C0" w:rsidP="008E02C0">
      <w:pPr>
        <w:suppressAutoHyphens/>
        <w:autoSpaceDE w:val="0"/>
        <w:ind w:left="360"/>
        <w:jc w:val="both"/>
      </w:pPr>
      <w:r>
        <w:t xml:space="preserve"> </w:t>
      </w:r>
    </w:p>
    <w:p w:rsidR="008E02C0" w:rsidRPr="00D87FFC" w:rsidRDefault="008E02C0" w:rsidP="008E02C0">
      <w:pPr>
        <w:numPr>
          <w:ilvl w:val="0"/>
          <w:numId w:val="12"/>
        </w:numPr>
        <w:suppressAutoHyphens/>
        <w:autoSpaceDE w:val="0"/>
        <w:jc w:val="both"/>
      </w:pPr>
      <w:r w:rsidRPr="00D87FFC">
        <w:t xml:space="preserve">In this regard, the Panel first addresses the issue of the burden of proof. At the admissibility stage, the Panel was satisfied that the complainants’ allegations were not groundless, thus it accepted the existence of a </w:t>
      </w:r>
      <w:r w:rsidRPr="00D87FFC">
        <w:rPr>
          <w:i/>
        </w:rPr>
        <w:t>prima facie</w:t>
      </w:r>
      <w:r w:rsidRPr="00D87FFC">
        <w:t xml:space="preserve"> case: that Mr </w:t>
      </w:r>
      <w:proofErr w:type="spellStart"/>
      <w:r w:rsidRPr="00D87FFC">
        <w:rPr>
          <w:color w:val="000000"/>
          <w:lang w:val="en-GB" w:eastAsia="nl-NL"/>
        </w:rPr>
        <w:t>Mlađan</w:t>
      </w:r>
      <w:proofErr w:type="spellEnd"/>
      <w:r w:rsidRPr="00D87FFC">
        <w:rPr>
          <w:color w:val="000000"/>
          <w:lang w:val="en-GB" w:eastAsia="nl-NL"/>
        </w:rPr>
        <w:t xml:space="preserve"> </w:t>
      </w:r>
      <w:proofErr w:type="spellStart"/>
      <w:r w:rsidRPr="00D87FFC">
        <w:rPr>
          <w:color w:val="000000"/>
          <w:lang w:val="en-GB" w:eastAsia="nl-NL"/>
        </w:rPr>
        <w:t>Mavrić</w:t>
      </w:r>
      <w:proofErr w:type="spellEnd"/>
      <w:r w:rsidR="003A521C" w:rsidRPr="00D87FFC">
        <w:t xml:space="preserve"> </w:t>
      </w:r>
      <w:r w:rsidRPr="00D87FFC">
        <w:t>disappeared in life threatening circumstances and that</w:t>
      </w:r>
      <w:r w:rsidR="00927FFE" w:rsidRPr="00D87FFC">
        <w:t xml:space="preserve"> UNMIK had become aware of his</w:t>
      </w:r>
      <w:r w:rsidRPr="00D87FFC">
        <w:t xml:space="preserve"> abduction at the latest in August 2001 (see § </w:t>
      </w:r>
      <w:r w:rsidR="003A521C" w:rsidRPr="00D87FFC">
        <w:t>30</w:t>
      </w:r>
      <w:r w:rsidRPr="00D87FFC">
        <w:t xml:space="preserve"> above).</w:t>
      </w:r>
    </w:p>
    <w:p w:rsidR="008E02C0" w:rsidRPr="00D87FFC" w:rsidRDefault="008E02C0" w:rsidP="008E02C0">
      <w:pPr>
        <w:tabs>
          <w:tab w:val="left" w:pos="360"/>
        </w:tabs>
        <w:suppressAutoHyphens/>
        <w:autoSpaceDE w:val="0"/>
        <w:ind w:left="360"/>
        <w:jc w:val="both"/>
      </w:pPr>
    </w:p>
    <w:p w:rsidR="008E02C0" w:rsidRPr="00D87FFC" w:rsidRDefault="008E02C0" w:rsidP="008E02C0">
      <w:pPr>
        <w:numPr>
          <w:ilvl w:val="0"/>
          <w:numId w:val="12"/>
        </w:numPr>
        <w:tabs>
          <w:tab w:val="left" w:pos="360"/>
        </w:tabs>
        <w:suppressAutoHyphens/>
        <w:autoSpaceDE w:val="0"/>
        <w:jc w:val="both"/>
      </w:pPr>
      <w:r w:rsidRPr="00D87FFC">
        <w:t xml:space="preserve">Accordingly, applying the principles discussed above (see §§ 70-73), the Panel considers that the burden of proof has shifted to the respondent, so that it is for UNMIK to present the Panel with evidence of an adequate investigation as a defense against the allegations put forward by </w:t>
      </w:r>
      <w:r w:rsidRPr="00D87FFC">
        <w:lastRenderedPageBreak/>
        <w:t>the complainant and accepted by the Panel as admissible. UNMIK has not discharged its obligation in this regard, as it has neither presented a complete investigative file, nor has it in a “satisfactory and convincing” way explained its failure to do so. Accordingly, the Panel will draw inferences from this situation.</w:t>
      </w:r>
    </w:p>
    <w:p w:rsidR="008E02C0" w:rsidRPr="00D87FFC" w:rsidRDefault="008E02C0" w:rsidP="008E02C0">
      <w:pPr>
        <w:tabs>
          <w:tab w:val="left" w:pos="360"/>
        </w:tabs>
        <w:suppressAutoHyphens/>
        <w:autoSpaceDE w:val="0"/>
        <w:ind w:left="360"/>
        <w:jc w:val="both"/>
      </w:pPr>
    </w:p>
    <w:p w:rsidR="008E02C0" w:rsidRPr="00D87FFC" w:rsidRDefault="008E02C0" w:rsidP="008E02C0">
      <w:pPr>
        <w:numPr>
          <w:ilvl w:val="0"/>
          <w:numId w:val="12"/>
        </w:numPr>
        <w:tabs>
          <w:tab w:val="left" w:pos="360"/>
        </w:tabs>
        <w:suppressAutoHyphens/>
        <w:autoSpaceDE w:val="0"/>
        <w:jc w:val="both"/>
      </w:pPr>
      <w:r w:rsidRPr="00D87FFC">
        <w:t xml:space="preserve">The Panel notes that according to the 2000 Annual Report of UNMIK Police, at least from mid-September 1999 the whole system of criminal investigation in </w:t>
      </w:r>
      <w:r w:rsidR="003A521C" w:rsidRPr="00D87FFC">
        <w:t>Prizren</w:t>
      </w:r>
      <w:r w:rsidRPr="00D87FFC">
        <w:t xml:space="preserve"> region was under the full control of UNMIK. Therefore, it was UNMIK’s responsibility to ensure, first, that the investigation is conducted expeditiously and efficiently; second, that all relevant investigative material is properly handed over to the authority taking over  responsibility for investigation (EULEX, see § </w:t>
      </w:r>
      <w:r w:rsidR="003A521C" w:rsidRPr="00D87FFC">
        <w:t>19</w:t>
      </w:r>
      <w:r w:rsidRPr="00D87FFC">
        <w:t xml:space="preserve"> above); and third, that the</w:t>
      </w:r>
      <w:r>
        <w:t xml:space="preserve"> investigative files could be traced </w:t>
      </w:r>
      <w:r w:rsidRPr="00D87FFC">
        <w:t>and retrieved, should a need  arise at any later stage.</w:t>
      </w:r>
    </w:p>
    <w:p w:rsidR="008E02C0" w:rsidRPr="00D87FFC" w:rsidRDefault="008E02C0" w:rsidP="008E02C0">
      <w:pPr>
        <w:tabs>
          <w:tab w:val="left" w:pos="360"/>
        </w:tabs>
        <w:suppressAutoHyphens/>
        <w:autoSpaceDE w:val="0"/>
        <w:ind w:left="360"/>
        <w:jc w:val="both"/>
      </w:pPr>
    </w:p>
    <w:p w:rsidR="008E02C0" w:rsidRPr="00D87FFC" w:rsidRDefault="008E02C0" w:rsidP="008E02C0">
      <w:pPr>
        <w:numPr>
          <w:ilvl w:val="0"/>
          <w:numId w:val="12"/>
        </w:numPr>
        <w:tabs>
          <w:tab w:val="left" w:pos="360"/>
        </w:tabs>
        <w:suppressAutoHyphens/>
        <w:autoSpaceDE w:val="0"/>
        <w:jc w:val="both"/>
      </w:pPr>
      <w:r w:rsidRPr="00D87FFC">
        <w:t xml:space="preserve">The Panel infers from the limited content of the investigative file 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Regulation No. 2006/12 </w:t>
      </w:r>
      <w:r w:rsidR="003A521C" w:rsidRPr="00D87FFC">
        <w:t>(cited in § 67</w:t>
      </w:r>
      <w:r w:rsidRPr="00D87FFC">
        <w:t xml:space="preserve"> above); the file was not properly handed over to EULEX; or UNMIK failed to retrieve the file from the current custodian.</w:t>
      </w:r>
    </w:p>
    <w:p w:rsidR="008E02C0" w:rsidRPr="00D87FFC" w:rsidRDefault="008E02C0" w:rsidP="008E02C0">
      <w:pPr>
        <w:tabs>
          <w:tab w:val="left" w:pos="360"/>
        </w:tabs>
        <w:suppressAutoHyphens/>
        <w:autoSpaceDE w:val="0"/>
        <w:ind w:left="360"/>
        <w:jc w:val="both"/>
      </w:pPr>
    </w:p>
    <w:p w:rsidR="00CE0015" w:rsidRPr="00D87FFC" w:rsidRDefault="008E02C0" w:rsidP="00CE0015">
      <w:pPr>
        <w:numPr>
          <w:ilvl w:val="0"/>
          <w:numId w:val="12"/>
        </w:numPr>
        <w:tabs>
          <w:tab w:val="left" w:pos="360"/>
        </w:tabs>
        <w:suppressAutoHyphens/>
        <w:autoSpaceDE w:val="0"/>
        <w:jc w:val="both"/>
      </w:pPr>
      <w:r w:rsidRPr="00D87FFC">
        <w:t>The Panel has already noted above that it has no reason to doubt UNMIK’s good faith in seeking to provide the investigative file for the Panel’s review. However, the Panel considers that whichever of these potential explanations is applicable, it indicates a failure, which is directly attributable to UNMIK, either when it was exercising its executive functions, or in its current capacity.</w:t>
      </w:r>
    </w:p>
    <w:p w:rsidR="00CE0015" w:rsidRDefault="00CE0015" w:rsidP="00CE0015">
      <w:pPr>
        <w:tabs>
          <w:tab w:val="left" w:pos="360"/>
        </w:tabs>
        <w:suppressAutoHyphens/>
        <w:autoSpaceDE w:val="0"/>
        <w:ind w:left="360"/>
        <w:jc w:val="both"/>
      </w:pPr>
    </w:p>
    <w:p w:rsidR="008E02C0" w:rsidRPr="00D87FFC" w:rsidRDefault="008E02C0" w:rsidP="001F723A">
      <w:pPr>
        <w:numPr>
          <w:ilvl w:val="0"/>
          <w:numId w:val="12"/>
        </w:numPr>
        <w:tabs>
          <w:tab w:val="left" w:pos="709"/>
        </w:tabs>
        <w:suppressAutoHyphens/>
        <w:autoSpaceDE w:val="0"/>
        <w:ind w:left="450" w:hanging="450"/>
        <w:jc w:val="both"/>
        <w:rPr>
          <w:color w:val="000000"/>
          <w:lang w:val="en-GB" w:eastAsia="nl-NL"/>
        </w:rPr>
      </w:pPr>
      <w:r w:rsidRPr="00D87FFC">
        <w:rPr>
          <w:color w:val="000000"/>
          <w:lang w:val="en-GB" w:eastAsia="nl-NL"/>
        </w:rPr>
        <w:t>The Panel notes that there were obvious shortcomings in the conduct of the investigation</w:t>
      </w:r>
      <w:r w:rsidR="003A521C" w:rsidRPr="00D87FFC">
        <w:rPr>
          <w:color w:val="000000"/>
          <w:lang w:val="en-GB" w:eastAsia="nl-NL"/>
        </w:rPr>
        <w:t xml:space="preserve"> since its</w:t>
      </w:r>
      <w:r w:rsidRPr="00D87FFC">
        <w:rPr>
          <w:color w:val="000000"/>
          <w:lang w:val="en-GB" w:eastAsia="nl-NL"/>
        </w:rPr>
        <w:t xml:space="preserve"> inception, having in mind that the initial stage of the investigation is of the utmost importance. However, in light of the considerations developed above concerning its limited</w:t>
      </w:r>
      <w:r w:rsidR="003A521C" w:rsidRPr="00D87FFC">
        <w:rPr>
          <w:color w:val="000000"/>
          <w:lang w:val="en-GB" w:eastAsia="nl-NL"/>
        </w:rPr>
        <w:t xml:space="preserve"> temporal jurisdiction (see § 43</w:t>
      </w:r>
      <w:r w:rsidRPr="00D87FFC">
        <w:rPr>
          <w:color w:val="000000"/>
          <w:lang w:val="en-GB" w:eastAsia="nl-NL"/>
        </w:rPr>
        <w:t xml:space="preserve">), the Panel recalls that it is competent </w:t>
      </w:r>
      <w:r w:rsidRPr="00D87FFC">
        <w:rPr>
          <w:i/>
          <w:color w:val="000000"/>
          <w:lang w:val="en-GB" w:eastAsia="nl-NL"/>
        </w:rPr>
        <w:t>ratione temporis</w:t>
      </w:r>
      <w:r w:rsidRPr="00D87FFC">
        <w:rPr>
          <w:color w:val="000000"/>
          <w:lang w:val="en-GB" w:eastAsia="nl-NL"/>
        </w:rPr>
        <w:t xml:space="preserve"> to evaluate the compliance of the investigations with Article 2 of the ECHR only for the period after 23 April 2005, while taking into consideration the state of the case at that date (ECtHR, </w:t>
      </w:r>
      <w:r w:rsidRPr="00D87FFC">
        <w:rPr>
          <w:i/>
          <w:color w:val="000000"/>
          <w:lang w:val="en-GB" w:eastAsia="nl-NL"/>
        </w:rPr>
        <w:t>Palić v. Bosnia and Herzegovina</w:t>
      </w:r>
      <w:r w:rsidR="003A521C" w:rsidRPr="00D87FFC">
        <w:rPr>
          <w:color w:val="000000"/>
          <w:lang w:val="en-GB" w:eastAsia="nl-NL"/>
        </w:rPr>
        <w:t>, cited in § 63</w:t>
      </w:r>
      <w:r w:rsidRPr="00D87FFC">
        <w:rPr>
          <w:color w:val="000000"/>
          <w:lang w:val="en-GB" w:eastAsia="nl-NL"/>
        </w:rPr>
        <w:t xml:space="preserve"> above, at § 70). The period under review ends on 9 December 2008, with EULEX taking over responsibility in the area of admi</w:t>
      </w:r>
      <w:r w:rsidR="003A521C" w:rsidRPr="00D87FFC">
        <w:rPr>
          <w:color w:val="000000"/>
          <w:lang w:val="en-GB" w:eastAsia="nl-NL"/>
        </w:rPr>
        <w:t>nistration of justice (see §§ 19-20</w:t>
      </w:r>
      <w:r w:rsidRPr="00D87FFC">
        <w:rPr>
          <w:color w:val="000000"/>
          <w:lang w:val="en-GB" w:eastAsia="nl-NL"/>
        </w:rPr>
        <w:t xml:space="preserve"> above).</w:t>
      </w:r>
    </w:p>
    <w:p w:rsidR="00185CAB" w:rsidRPr="00046EBD" w:rsidRDefault="00185CAB" w:rsidP="00185CAB">
      <w:pPr>
        <w:pStyle w:val="ListParagraph"/>
        <w:ind w:left="360"/>
        <w:jc w:val="both"/>
        <w:rPr>
          <w:lang w:val="en-GB"/>
        </w:rPr>
      </w:pPr>
    </w:p>
    <w:bookmarkEnd w:id="40"/>
    <w:p w:rsidR="00462E2E" w:rsidRPr="00D87FFC" w:rsidRDefault="00065134" w:rsidP="001F723A">
      <w:pPr>
        <w:numPr>
          <w:ilvl w:val="0"/>
          <w:numId w:val="12"/>
        </w:numPr>
        <w:tabs>
          <w:tab w:val="left" w:pos="709"/>
        </w:tabs>
        <w:suppressAutoHyphens/>
        <w:autoSpaceDE w:val="0"/>
        <w:ind w:left="450" w:hanging="450"/>
        <w:jc w:val="both"/>
        <w:rPr>
          <w:color w:val="000000"/>
          <w:lang w:val="en-GB" w:eastAsia="nl-NL"/>
        </w:rPr>
      </w:pPr>
      <w:r w:rsidRPr="00D87FFC">
        <w:rPr>
          <w:color w:val="000000"/>
          <w:lang w:val="en-GB" w:eastAsia="nl-NL"/>
        </w:rPr>
        <w:t xml:space="preserve">The complainant states that she reported Mr </w:t>
      </w:r>
      <w:proofErr w:type="spellStart"/>
      <w:r w:rsidRPr="00D87FFC">
        <w:rPr>
          <w:color w:val="000000"/>
          <w:lang w:val="en-GB" w:eastAsia="nl-NL"/>
        </w:rPr>
        <w:t>Mlađa</w:t>
      </w:r>
      <w:r w:rsidR="00927FFE" w:rsidRPr="00D87FFC">
        <w:rPr>
          <w:color w:val="000000"/>
          <w:lang w:val="en-GB" w:eastAsia="nl-NL"/>
        </w:rPr>
        <w:t>n</w:t>
      </w:r>
      <w:proofErr w:type="spellEnd"/>
      <w:r w:rsidR="00927FFE" w:rsidRPr="00D87FFC">
        <w:rPr>
          <w:color w:val="000000"/>
          <w:lang w:val="en-GB" w:eastAsia="nl-NL"/>
        </w:rPr>
        <w:t xml:space="preserve"> </w:t>
      </w:r>
      <w:proofErr w:type="spellStart"/>
      <w:r w:rsidR="00927FFE" w:rsidRPr="00D87FFC">
        <w:rPr>
          <w:color w:val="000000"/>
          <w:lang w:val="en-GB" w:eastAsia="nl-NL"/>
        </w:rPr>
        <w:t>Mavrić’s</w:t>
      </w:r>
      <w:proofErr w:type="spellEnd"/>
      <w:r w:rsidR="00927FFE" w:rsidRPr="00D87FFC">
        <w:rPr>
          <w:color w:val="000000"/>
          <w:lang w:val="en-GB" w:eastAsia="nl-NL"/>
        </w:rPr>
        <w:t xml:space="preserve"> abduction on the</w:t>
      </w:r>
      <w:r w:rsidRPr="00D87FFC">
        <w:rPr>
          <w:color w:val="000000"/>
          <w:lang w:val="en-GB" w:eastAsia="nl-NL"/>
        </w:rPr>
        <w:t xml:space="preserve"> day of his disappearance to the UNMIK Police and that she was not provided with a copy of the report or any similar document. Having noted the lack of specific documentation in this respect, </w:t>
      </w:r>
      <w:r w:rsidR="00462E2E" w:rsidRPr="00D87FFC">
        <w:rPr>
          <w:color w:val="000000"/>
          <w:lang w:val="en-GB" w:eastAsia="nl-NL"/>
        </w:rPr>
        <w:t xml:space="preserve">as stated above, </w:t>
      </w:r>
      <w:r w:rsidRPr="00D87FFC">
        <w:rPr>
          <w:color w:val="000000"/>
          <w:lang w:val="en-GB" w:eastAsia="nl-NL"/>
        </w:rPr>
        <w:t>the Panel considers that UNMIK became aware of the disappearance at the latest in August 2001. By this time, the UNMIK Police MPU</w:t>
      </w:r>
      <w:r w:rsidR="008E02C0" w:rsidRPr="00D87FFC">
        <w:rPr>
          <w:color w:val="000000"/>
          <w:lang w:val="en-GB" w:eastAsia="nl-NL"/>
        </w:rPr>
        <w:t xml:space="preserve"> had opened a file</w:t>
      </w:r>
      <w:r w:rsidRPr="00D87FFC">
        <w:rPr>
          <w:color w:val="000000"/>
          <w:lang w:val="en-GB" w:eastAsia="nl-NL"/>
        </w:rPr>
        <w:t xml:space="preserve"> on Mr </w:t>
      </w:r>
      <w:proofErr w:type="spellStart"/>
      <w:r w:rsidRPr="00D87FFC">
        <w:rPr>
          <w:color w:val="000000"/>
          <w:lang w:val="en-GB" w:eastAsia="nl-NL"/>
        </w:rPr>
        <w:t>Mlađan</w:t>
      </w:r>
      <w:proofErr w:type="spellEnd"/>
      <w:r w:rsidRPr="00D87FFC">
        <w:rPr>
          <w:color w:val="000000"/>
          <w:lang w:val="en-GB" w:eastAsia="nl-NL"/>
        </w:rPr>
        <w:t xml:space="preserve"> </w:t>
      </w:r>
      <w:proofErr w:type="spellStart"/>
      <w:r w:rsidRPr="00D87FFC">
        <w:rPr>
          <w:color w:val="000000"/>
          <w:lang w:val="en-GB" w:eastAsia="nl-NL"/>
        </w:rPr>
        <w:t>Mavrić</w:t>
      </w:r>
      <w:proofErr w:type="spellEnd"/>
      <w:r w:rsidR="008E02C0" w:rsidRPr="00D87FFC">
        <w:rPr>
          <w:color w:val="000000"/>
          <w:lang w:val="en-GB" w:eastAsia="nl-NL"/>
        </w:rPr>
        <w:t>, following information received by the ICRC</w:t>
      </w:r>
      <w:r w:rsidR="00D87FFC" w:rsidRPr="00D87FFC">
        <w:rPr>
          <w:color w:val="000000"/>
          <w:lang w:val="en-GB" w:eastAsia="nl-NL"/>
        </w:rPr>
        <w:t xml:space="preserve"> (see § 30 </w:t>
      </w:r>
      <w:r w:rsidR="00BD28A4" w:rsidRPr="00D87FFC">
        <w:rPr>
          <w:color w:val="000000"/>
          <w:lang w:val="en-GB" w:eastAsia="nl-NL"/>
        </w:rPr>
        <w:t>above).</w:t>
      </w:r>
    </w:p>
    <w:p w:rsidR="00712E54" w:rsidRPr="00D87FFC" w:rsidRDefault="00712E54" w:rsidP="001F723A">
      <w:pPr>
        <w:tabs>
          <w:tab w:val="left" w:pos="709"/>
        </w:tabs>
        <w:suppressAutoHyphens/>
        <w:autoSpaceDE w:val="0"/>
        <w:ind w:left="450"/>
        <w:jc w:val="both"/>
        <w:rPr>
          <w:color w:val="000000"/>
          <w:lang w:val="en-GB" w:eastAsia="nl-NL"/>
        </w:rPr>
      </w:pPr>
    </w:p>
    <w:p w:rsidR="00462E2E" w:rsidRPr="00D87FFC" w:rsidRDefault="00462E2E" w:rsidP="001F723A">
      <w:pPr>
        <w:numPr>
          <w:ilvl w:val="0"/>
          <w:numId w:val="12"/>
        </w:numPr>
        <w:tabs>
          <w:tab w:val="left" w:pos="709"/>
        </w:tabs>
        <w:suppressAutoHyphens/>
        <w:autoSpaceDE w:val="0"/>
        <w:ind w:left="450" w:hanging="450"/>
        <w:jc w:val="both"/>
        <w:rPr>
          <w:color w:val="000000"/>
          <w:lang w:val="en-GB" w:eastAsia="nl-NL"/>
        </w:rPr>
      </w:pPr>
      <w:r w:rsidRPr="00D87FFC">
        <w:rPr>
          <w:color w:val="000000"/>
          <w:lang w:val="en-GB" w:eastAsia="nl-NL"/>
        </w:rPr>
        <w:t>The Panel notes that, apart from opening a missing person case</w:t>
      </w:r>
      <w:r w:rsidR="00927FFE" w:rsidRPr="00D87FFC">
        <w:rPr>
          <w:color w:val="000000"/>
          <w:lang w:val="en-GB" w:eastAsia="nl-NL"/>
        </w:rPr>
        <w:t xml:space="preserve"> file</w:t>
      </w:r>
      <w:r w:rsidRPr="00D87FFC">
        <w:rPr>
          <w:color w:val="000000"/>
          <w:lang w:val="en-GB" w:eastAsia="nl-NL"/>
        </w:rPr>
        <w:t xml:space="preserve"> and registering the ante-mortem information provided by the ICRC, no step whatsoever was taken by the UNMIK </w:t>
      </w:r>
      <w:r w:rsidRPr="00D87FFC">
        <w:rPr>
          <w:color w:val="000000"/>
          <w:lang w:val="en-GB" w:eastAsia="nl-NL"/>
        </w:rPr>
        <w:lastRenderedPageBreak/>
        <w:t xml:space="preserve">Police to investigate the abduction of Mr </w:t>
      </w:r>
      <w:proofErr w:type="spellStart"/>
      <w:r w:rsidRPr="00D87FFC">
        <w:rPr>
          <w:color w:val="000000"/>
          <w:lang w:val="en-GB" w:eastAsia="nl-NL"/>
        </w:rPr>
        <w:t>Mlađan</w:t>
      </w:r>
      <w:proofErr w:type="spellEnd"/>
      <w:r w:rsidRPr="00D87FFC">
        <w:rPr>
          <w:color w:val="000000"/>
          <w:lang w:val="en-GB" w:eastAsia="nl-NL"/>
        </w:rPr>
        <w:t xml:space="preserve"> </w:t>
      </w:r>
      <w:proofErr w:type="spellStart"/>
      <w:r w:rsidRPr="00D87FFC">
        <w:rPr>
          <w:color w:val="000000"/>
          <w:lang w:val="en-GB" w:eastAsia="nl-NL"/>
        </w:rPr>
        <w:t>Mavrić</w:t>
      </w:r>
      <w:proofErr w:type="spellEnd"/>
      <w:r w:rsidRPr="00D87FFC">
        <w:rPr>
          <w:color w:val="000000"/>
          <w:lang w:val="en-GB" w:eastAsia="nl-NL"/>
        </w:rPr>
        <w:t xml:space="preserve">. The file indicates that no statement was ever taken from the complainant or Mr </w:t>
      </w:r>
      <w:proofErr w:type="spellStart"/>
      <w:r w:rsidRPr="00D87FFC">
        <w:rPr>
          <w:color w:val="000000"/>
          <w:lang w:val="en-GB" w:eastAsia="nl-NL"/>
        </w:rPr>
        <w:t>Mlađan</w:t>
      </w:r>
      <w:proofErr w:type="spellEnd"/>
      <w:r w:rsidRPr="00D87FFC">
        <w:rPr>
          <w:color w:val="000000"/>
          <w:lang w:val="en-GB" w:eastAsia="nl-NL"/>
        </w:rPr>
        <w:t xml:space="preserve"> </w:t>
      </w:r>
      <w:proofErr w:type="spellStart"/>
      <w:r w:rsidRPr="00D87FFC">
        <w:rPr>
          <w:color w:val="000000"/>
          <w:lang w:val="en-GB" w:eastAsia="nl-NL"/>
        </w:rPr>
        <w:t>Mavrić’s</w:t>
      </w:r>
      <w:proofErr w:type="spellEnd"/>
      <w:r w:rsidRPr="00D87FFC">
        <w:rPr>
          <w:color w:val="000000"/>
          <w:lang w:val="en-GB" w:eastAsia="nl-NL"/>
        </w:rPr>
        <w:t xml:space="preserve"> brother, whose telephone numbe</w:t>
      </w:r>
      <w:r w:rsidR="003A521C" w:rsidRPr="00D87FFC">
        <w:rPr>
          <w:color w:val="000000"/>
          <w:lang w:val="en-GB" w:eastAsia="nl-NL"/>
        </w:rPr>
        <w:t>r and home address in Kosovo were</w:t>
      </w:r>
      <w:r w:rsidRPr="00D87FFC">
        <w:rPr>
          <w:color w:val="000000"/>
          <w:lang w:val="en-GB" w:eastAsia="nl-NL"/>
        </w:rPr>
        <w:t xml:space="preserve"> included in the information provided by the ICRC</w:t>
      </w:r>
      <w:r w:rsidR="003A521C" w:rsidRPr="00D87FFC">
        <w:rPr>
          <w:color w:val="000000"/>
          <w:lang w:val="en-GB" w:eastAsia="nl-NL"/>
        </w:rPr>
        <w:t xml:space="preserve"> (see § 29</w:t>
      </w:r>
      <w:r w:rsidRPr="00D87FFC">
        <w:rPr>
          <w:color w:val="000000"/>
          <w:lang w:val="en-GB" w:eastAsia="nl-NL"/>
        </w:rPr>
        <w:t xml:space="preserve"> above), or</w:t>
      </w:r>
      <w:r w:rsidR="00927FFE" w:rsidRPr="00D87FFC">
        <w:rPr>
          <w:color w:val="000000"/>
          <w:lang w:val="en-GB" w:eastAsia="nl-NL"/>
        </w:rPr>
        <w:t xml:space="preserve"> from</w:t>
      </w:r>
      <w:r w:rsidRPr="00D87FFC">
        <w:rPr>
          <w:color w:val="000000"/>
          <w:lang w:val="en-GB" w:eastAsia="nl-NL"/>
        </w:rPr>
        <w:t xml:space="preserve"> other family members, in order to clarify the circumstances surrounding the disappearance of Mr </w:t>
      </w:r>
      <w:proofErr w:type="spellStart"/>
      <w:r w:rsidRPr="00D87FFC">
        <w:rPr>
          <w:color w:val="000000"/>
          <w:lang w:val="en-GB" w:eastAsia="nl-NL"/>
        </w:rPr>
        <w:t>Mlađan</w:t>
      </w:r>
      <w:proofErr w:type="spellEnd"/>
      <w:r w:rsidRPr="00D87FFC">
        <w:rPr>
          <w:color w:val="000000"/>
          <w:lang w:val="en-GB" w:eastAsia="nl-NL"/>
        </w:rPr>
        <w:t xml:space="preserve"> </w:t>
      </w:r>
      <w:proofErr w:type="spellStart"/>
      <w:r w:rsidRPr="00D87FFC">
        <w:rPr>
          <w:color w:val="000000"/>
          <w:lang w:val="en-GB" w:eastAsia="nl-NL"/>
        </w:rPr>
        <w:t>Mavrić</w:t>
      </w:r>
      <w:proofErr w:type="spellEnd"/>
      <w:r w:rsidRPr="00D87FFC">
        <w:rPr>
          <w:color w:val="000000"/>
          <w:lang w:val="en-GB" w:eastAsia="nl-NL"/>
        </w:rPr>
        <w:t>.</w:t>
      </w:r>
      <w:r w:rsidR="00CD1884" w:rsidRPr="00D87FFC">
        <w:rPr>
          <w:color w:val="000000"/>
          <w:lang w:val="en-GB" w:eastAsia="nl-NL"/>
        </w:rPr>
        <w:t xml:space="preserve"> The Panel notes that, based </w:t>
      </w:r>
      <w:r w:rsidR="00927FFE" w:rsidRPr="00D87FFC">
        <w:rPr>
          <w:color w:val="000000"/>
          <w:lang w:val="en-GB" w:eastAsia="nl-NL"/>
        </w:rPr>
        <w:t>on the files available, no</w:t>
      </w:r>
      <w:r w:rsidR="00CD1884" w:rsidRPr="00D87FFC">
        <w:rPr>
          <w:color w:val="000000"/>
          <w:lang w:val="en-GB" w:eastAsia="nl-NL"/>
        </w:rPr>
        <w:t xml:space="preserve"> basic investigative steps were taken by the UNMIK</w:t>
      </w:r>
      <w:r w:rsidR="00927FFE" w:rsidRPr="00D87FFC">
        <w:rPr>
          <w:color w:val="000000"/>
          <w:lang w:val="en-GB" w:eastAsia="nl-NL"/>
        </w:rPr>
        <w:t xml:space="preserve"> Police</w:t>
      </w:r>
      <w:r w:rsidR="00CD1884" w:rsidRPr="00D87FFC">
        <w:rPr>
          <w:color w:val="000000"/>
          <w:lang w:val="en-GB" w:eastAsia="nl-NL"/>
        </w:rPr>
        <w:t xml:space="preserve"> such as visiting the location where Mr </w:t>
      </w:r>
      <w:proofErr w:type="spellStart"/>
      <w:r w:rsidR="00CD1884" w:rsidRPr="00D87FFC">
        <w:rPr>
          <w:color w:val="000000"/>
          <w:lang w:val="en-GB" w:eastAsia="nl-NL"/>
        </w:rPr>
        <w:t>Mlađan</w:t>
      </w:r>
      <w:proofErr w:type="spellEnd"/>
      <w:r w:rsidR="00CD1884" w:rsidRPr="00D87FFC">
        <w:rPr>
          <w:color w:val="000000"/>
          <w:lang w:val="en-GB" w:eastAsia="nl-NL"/>
        </w:rPr>
        <w:t xml:space="preserve"> </w:t>
      </w:r>
      <w:proofErr w:type="spellStart"/>
      <w:r w:rsidR="00CD1884" w:rsidRPr="00D87FFC">
        <w:rPr>
          <w:color w:val="000000"/>
          <w:lang w:val="en-GB" w:eastAsia="nl-NL"/>
        </w:rPr>
        <w:t>Mavrić</w:t>
      </w:r>
      <w:proofErr w:type="spellEnd"/>
      <w:r w:rsidR="00CD1884" w:rsidRPr="00D87FFC">
        <w:rPr>
          <w:color w:val="000000"/>
          <w:lang w:val="en-GB" w:eastAsia="nl-NL"/>
        </w:rPr>
        <w:t xml:space="preserve"> had been allegedly seen for the last</w:t>
      </w:r>
      <w:r w:rsidR="00927FFE" w:rsidRPr="00D87FFC">
        <w:rPr>
          <w:color w:val="000000"/>
          <w:lang w:val="en-GB" w:eastAsia="nl-NL"/>
        </w:rPr>
        <w:t xml:space="preserve"> time</w:t>
      </w:r>
      <w:r w:rsidR="00CD1884" w:rsidRPr="00D87FFC">
        <w:rPr>
          <w:color w:val="000000"/>
          <w:lang w:val="en-GB" w:eastAsia="nl-NL"/>
        </w:rPr>
        <w:t xml:space="preserve"> to try and better understand the circumstances of his abduction, or identifying and interviewing individuals residing at or located in the area of the alleged crime (“canvassing” the area) or persons who knew the victim, as they might have had knowledge of possible motives. Further, there is no indication in the file that the UNMIK Police made any effort to locate Mr </w:t>
      </w:r>
      <w:proofErr w:type="spellStart"/>
      <w:r w:rsidR="00CD1884" w:rsidRPr="00D87FFC">
        <w:rPr>
          <w:color w:val="000000"/>
          <w:lang w:val="en-GB" w:eastAsia="nl-NL"/>
        </w:rPr>
        <w:t>Mlađan</w:t>
      </w:r>
      <w:proofErr w:type="spellEnd"/>
      <w:r w:rsidR="00CD1884" w:rsidRPr="00D87FFC">
        <w:rPr>
          <w:color w:val="000000"/>
          <w:lang w:val="en-GB" w:eastAsia="nl-NL"/>
        </w:rPr>
        <w:t xml:space="preserve"> </w:t>
      </w:r>
      <w:proofErr w:type="spellStart"/>
      <w:r w:rsidR="00CD1884" w:rsidRPr="00D87FFC">
        <w:rPr>
          <w:color w:val="000000"/>
          <w:lang w:val="en-GB" w:eastAsia="nl-NL"/>
        </w:rPr>
        <w:t>Mavrić’s</w:t>
      </w:r>
      <w:proofErr w:type="spellEnd"/>
      <w:r w:rsidR="00CD1884" w:rsidRPr="00D87FFC">
        <w:rPr>
          <w:color w:val="000000"/>
          <w:lang w:val="en-GB" w:eastAsia="nl-NL"/>
        </w:rPr>
        <w:t xml:space="preserve"> car</w:t>
      </w:r>
      <w:r w:rsidR="00927FFE" w:rsidRPr="00D87FFC">
        <w:rPr>
          <w:color w:val="000000"/>
          <w:lang w:val="en-GB" w:eastAsia="nl-NL"/>
        </w:rPr>
        <w:t>,</w:t>
      </w:r>
      <w:r w:rsidR="00CD1884" w:rsidRPr="00D87FFC">
        <w:rPr>
          <w:color w:val="000000"/>
          <w:lang w:val="en-GB" w:eastAsia="nl-NL"/>
        </w:rPr>
        <w:t xml:space="preserve"> which had gone missing with him.</w:t>
      </w:r>
    </w:p>
    <w:p w:rsidR="00712E54" w:rsidRPr="00712E54" w:rsidRDefault="00712E54" w:rsidP="00712E54">
      <w:pPr>
        <w:pStyle w:val="ListParagraph"/>
        <w:ind w:left="360"/>
        <w:jc w:val="both"/>
        <w:rPr>
          <w:lang w:val="en-GB"/>
        </w:rPr>
      </w:pPr>
    </w:p>
    <w:p w:rsidR="008C7D01" w:rsidRPr="00D87FFC" w:rsidRDefault="00185CAB" w:rsidP="001F723A">
      <w:pPr>
        <w:numPr>
          <w:ilvl w:val="0"/>
          <w:numId w:val="12"/>
        </w:numPr>
        <w:tabs>
          <w:tab w:val="left" w:pos="709"/>
        </w:tabs>
        <w:suppressAutoHyphens/>
        <w:autoSpaceDE w:val="0"/>
        <w:ind w:left="450" w:hanging="450"/>
        <w:jc w:val="both"/>
        <w:rPr>
          <w:color w:val="000000"/>
          <w:lang w:val="en-GB" w:eastAsia="nl-NL"/>
        </w:rPr>
      </w:pPr>
      <w:r w:rsidRPr="00D87FFC">
        <w:rPr>
          <w:color w:val="000000"/>
          <w:lang w:val="en-GB" w:eastAsia="nl-NL"/>
        </w:rPr>
        <w:t>The Panel notes that</w:t>
      </w:r>
      <w:r w:rsidR="00CD1884" w:rsidRPr="00D87FFC">
        <w:rPr>
          <w:color w:val="000000"/>
          <w:lang w:val="en-GB" w:eastAsia="nl-NL"/>
        </w:rPr>
        <w:t xml:space="preserve">, in November 2002, in circumstances not directly linked to the investigation into Mr </w:t>
      </w:r>
      <w:proofErr w:type="spellStart"/>
      <w:r w:rsidR="00CD1884" w:rsidRPr="00D87FFC">
        <w:rPr>
          <w:color w:val="000000"/>
          <w:lang w:val="en-GB" w:eastAsia="nl-NL"/>
        </w:rPr>
        <w:t>Mlađan</w:t>
      </w:r>
      <w:proofErr w:type="spellEnd"/>
      <w:r w:rsidR="00CD1884" w:rsidRPr="00D87FFC">
        <w:rPr>
          <w:color w:val="000000"/>
          <w:lang w:val="en-GB" w:eastAsia="nl-NL"/>
        </w:rPr>
        <w:t xml:space="preserve"> </w:t>
      </w:r>
      <w:proofErr w:type="spellStart"/>
      <w:r w:rsidR="00CD1884" w:rsidRPr="00D87FFC">
        <w:rPr>
          <w:color w:val="000000"/>
          <w:lang w:val="en-GB" w:eastAsia="nl-NL"/>
        </w:rPr>
        <w:t>Mavrić’s</w:t>
      </w:r>
      <w:proofErr w:type="spellEnd"/>
      <w:r w:rsidR="00CD1884" w:rsidRPr="00D87FFC">
        <w:rPr>
          <w:color w:val="000000"/>
          <w:lang w:val="en-GB" w:eastAsia="nl-NL"/>
        </w:rPr>
        <w:t xml:space="preserve"> abduction, </w:t>
      </w:r>
      <w:r w:rsidRPr="00D87FFC">
        <w:rPr>
          <w:color w:val="000000"/>
          <w:lang w:val="en-GB" w:eastAsia="nl-NL"/>
        </w:rPr>
        <w:t>the UNMIK OMPF d</w:t>
      </w:r>
      <w:r w:rsidR="00B202AE" w:rsidRPr="00D87FFC">
        <w:rPr>
          <w:color w:val="000000"/>
          <w:lang w:val="en-GB" w:eastAsia="nl-NL"/>
        </w:rPr>
        <w:t xml:space="preserve">iscovered the </w:t>
      </w:r>
      <w:r w:rsidRPr="00D87FFC">
        <w:rPr>
          <w:color w:val="000000"/>
          <w:lang w:val="en-GB" w:eastAsia="nl-NL"/>
        </w:rPr>
        <w:t xml:space="preserve">mortal remains </w:t>
      </w:r>
      <w:r w:rsidR="00B202AE" w:rsidRPr="00D87FFC">
        <w:rPr>
          <w:color w:val="000000"/>
          <w:lang w:val="en-GB" w:eastAsia="nl-NL"/>
        </w:rPr>
        <w:t xml:space="preserve">later identified as those </w:t>
      </w:r>
      <w:r w:rsidRPr="00D87FFC">
        <w:rPr>
          <w:color w:val="000000"/>
          <w:lang w:val="en-GB" w:eastAsia="nl-NL"/>
        </w:rPr>
        <w:t xml:space="preserve">of </w:t>
      </w:r>
      <w:r w:rsidR="00CD1884" w:rsidRPr="00D87FFC">
        <w:rPr>
          <w:color w:val="000000"/>
          <w:lang w:val="en-GB" w:eastAsia="nl-NL"/>
        </w:rPr>
        <w:t xml:space="preserve">Mr </w:t>
      </w:r>
      <w:proofErr w:type="spellStart"/>
      <w:r w:rsidR="00CD1884" w:rsidRPr="00D87FFC">
        <w:rPr>
          <w:color w:val="000000"/>
          <w:lang w:val="en-GB" w:eastAsia="nl-NL"/>
        </w:rPr>
        <w:t>Mlađan</w:t>
      </w:r>
      <w:proofErr w:type="spellEnd"/>
      <w:r w:rsidR="00CD1884" w:rsidRPr="00D87FFC">
        <w:rPr>
          <w:color w:val="000000"/>
          <w:lang w:val="en-GB" w:eastAsia="nl-NL"/>
        </w:rPr>
        <w:t xml:space="preserve"> </w:t>
      </w:r>
      <w:proofErr w:type="spellStart"/>
      <w:r w:rsidR="00CD1884" w:rsidRPr="00D87FFC">
        <w:rPr>
          <w:color w:val="000000"/>
          <w:lang w:val="en-GB" w:eastAsia="nl-NL"/>
        </w:rPr>
        <w:t>Mavrić</w:t>
      </w:r>
      <w:proofErr w:type="spellEnd"/>
      <w:r w:rsidRPr="00D87FFC">
        <w:rPr>
          <w:color w:val="000000"/>
          <w:lang w:val="en-GB" w:eastAsia="nl-NL"/>
        </w:rPr>
        <w:t>. An autopsy</w:t>
      </w:r>
      <w:r w:rsidR="00CD1884" w:rsidRPr="00D87FFC">
        <w:rPr>
          <w:color w:val="000000"/>
          <w:lang w:val="en-GB" w:eastAsia="nl-NL"/>
        </w:rPr>
        <w:t xml:space="preserve"> </w:t>
      </w:r>
      <w:r w:rsidRPr="00D87FFC">
        <w:rPr>
          <w:color w:val="000000"/>
          <w:lang w:val="en-GB" w:eastAsia="nl-NL"/>
        </w:rPr>
        <w:t>was conduct</w:t>
      </w:r>
      <w:r w:rsidR="00B202AE" w:rsidRPr="00D87FFC">
        <w:rPr>
          <w:color w:val="000000"/>
          <w:lang w:val="en-GB" w:eastAsia="nl-NL"/>
        </w:rPr>
        <w:t xml:space="preserve">ed in December 2002, </w:t>
      </w:r>
      <w:r w:rsidR="00CD1884" w:rsidRPr="00D87FFC">
        <w:rPr>
          <w:color w:val="000000"/>
          <w:lang w:val="en-GB" w:eastAsia="nl-NL"/>
        </w:rPr>
        <w:t xml:space="preserve">which </w:t>
      </w:r>
      <w:r w:rsidR="00B202AE" w:rsidRPr="00D87FFC">
        <w:rPr>
          <w:color w:val="000000"/>
          <w:lang w:val="en-GB" w:eastAsia="nl-NL"/>
        </w:rPr>
        <w:t>established</w:t>
      </w:r>
      <w:r w:rsidRPr="00D87FFC">
        <w:rPr>
          <w:color w:val="000000"/>
          <w:lang w:val="en-GB" w:eastAsia="nl-NL"/>
        </w:rPr>
        <w:t xml:space="preserve"> that the death had been cause</w:t>
      </w:r>
      <w:r w:rsidR="00712E54" w:rsidRPr="00D87FFC">
        <w:rPr>
          <w:color w:val="000000"/>
          <w:lang w:val="en-GB" w:eastAsia="nl-NL"/>
        </w:rPr>
        <w:t>d by gunshot wounds to the head</w:t>
      </w:r>
      <w:r w:rsidR="00B202AE" w:rsidRPr="00D87FFC">
        <w:rPr>
          <w:color w:val="000000"/>
          <w:lang w:val="en-GB" w:eastAsia="nl-NL"/>
        </w:rPr>
        <w:t xml:space="preserve">. </w:t>
      </w:r>
      <w:r w:rsidR="00CD1884" w:rsidRPr="00D87FFC">
        <w:rPr>
          <w:color w:val="000000"/>
          <w:lang w:val="en-GB" w:eastAsia="nl-NL"/>
        </w:rPr>
        <w:t xml:space="preserve">In November 2003, the mortal remains were identified through DNA as those of Mr </w:t>
      </w:r>
      <w:proofErr w:type="spellStart"/>
      <w:r w:rsidR="00CD1884" w:rsidRPr="00D87FFC">
        <w:rPr>
          <w:color w:val="000000"/>
          <w:lang w:val="en-GB" w:eastAsia="nl-NL"/>
        </w:rPr>
        <w:t>Mlađan</w:t>
      </w:r>
      <w:proofErr w:type="spellEnd"/>
      <w:r w:rsidR="003A521C" w:rsidRPr="00D87FFC">
        <w:rPr>
          <w:color w:val="000000"/>
          <w:lang w:val="en-GB" w:eastAsia="nl-NL"/>
        </w:rPr>
        <w:t xml:space="preserve"> </w:t>
      </w:r>
      <w:proofErr w:type="spellStart"/>
      <w:r w:rsidR="003A521C" w:rsidRPr="00D87FFC">
        <w:rPr>
          <w:color w:val="000000"/>
          <w:lang w:val="en-GB" w:eastAsia="nl-NL"/>
        </w:rPr>
        <w:t>Mavrić</w:t>
      </w:r>
      <w:proofErr w:type="spellEnd"/>
      <w:r w:rsidR="003A521C" w:rsidRPr="00D87FFC">
        <w:rPr>
          <w:color w:val="000000"/>
          <w:lang w:val="en-GB" w:eastAsia="nl-NL"/>
        </w:rPr>
        <w:t xml:space="preserve"> and handed over to his f</w:t>
      </w:r>
      <w:r w:rsidR="00CD1884" w:rsidRPr="00D87FFC">
        <w:rPr>
          <w:color w:val="000000"/>
          <w:lang w:val="en-GB" w:eastAsia="nl-NL"/>
        </w:rPr>
        <w:t>amily on 29 November 2003.</w:t>
      </w:r>
    </w:p>
    <w:p w:rsidR="00CD1884" w:rsidRPr="00D87FFC" w:rsidRDefault="00CD1884" w:rsidP="00CD1884">
      <w:pPr>
        <w:pStyle w:val="ListParagraph"/>
        <w:ind w:left="360"/>
        <w:jc w:val="both"/>
        <w:rPr>
          <w:lang w:val="en-GB"/>
        </w:rPr>
      </w:pPr>
    </w:p>
    <w:p w:rsidR="00CD1884" w:rsidRPr="00D87FFC" w:rsidRDefault="00CD1884" w:rsidP="001F723A">
      <w:pPr>
        <w:numPr>
          <w:ilvl w:val="0"/>
          <w:numId w:val="12"/>
        </w:numPr>
        <w:tabs>
          <w:tab w:val="left" w:pos="709"/>
        </w:tabs>
        <w:suppressAutoHyphens/>
        <w:autoSpaceDE w:val="0"/>
        <w:ind w:left="450" w:hanging="450"/>
        <w:jc w:val="both"/>
        <w:rPr>
          <w:color w:val="000000"/>
          <w:lang w:val="en-GB" w:eastAsia="nl-NL"/>
        </w:rPr>
      </w:pPr>
      <w:r w:rsidRPr="00D87FFC">
        <w:rPr>
          <w:color w:val="000000"/>
          <w:lang w:val="en-GB" w:eastAsia="nl-NL"/>
        </w:rPr>
        <w:t xml:space="preserve">The last documented investigative action in the file is a scanning of the Kosovo Police database </w:t>
      </w:r>
      <w:r w:rsidR="00017BD2" w:rsidRPr="00D87FFC">
        <w:rPr>
          <w:color w:val="000000"/>
          <w:lang w:val="en-GB" w:eastAsia="nl-NL"/>
        </w:rPr>
        <w:t xml:space="preserve">in January 2004, which showed that there was no trace there of the criminal case concerning Mr </w:t>
      </w:r>
      <w:proofErr w:type="spellStart"/>
      <w:r w:rsidR="00017BD2" w:rsidRPr="00D87FFC">
        <w:rPr>
          <w:color w:val="000000"/>
          <w:lang w:val="en-GB" w:eastAsia="nl-NL"/>
        </w:rPr>
        <w:t>Mlađan</w:t>
      </w:r>
      <w:proofErr w:type="spellEnd"/>
      <w:r w:rsidR="00017BD2" w:rsidRPr="00D87FFC">
        <w:rPr>
          <w:color w:val="000000"/>
          <w:lang w:val="en-GB" w:eastAsia="nl-NL"/>
        </w:rPr>
        <w:t xml:space="preserve"> </w:t>
      </w:r>
      <w:proofErr w:type="spellStart"/>
      <w:r w:rsidR="00017BD2" w:rsidRPr="00D87FFC">
        <w:rPr>
          <w:color w:val="000000"/>
          <w:lang w:val="en-GB" w:eastAsia="nl-NL"/>
        </w:rPr>
        <w:t>Mavrić</w:t>
      </w:r>
      <w:proofErr w:type="spellEnd"/>
      <w:r w:rsidR="00017BD2" w:rsidRPr="00D87FFC">
        <w:rPr>
          <w:color w:val="000000"/>
          <w:lang w:val="en-GB" w:eastAsia="nl-NL"/>
        </w:rPr>
        <w:t xml:space="preserve">. </w:t>
      </w:r>
    </w:p>
    <w:p w:rsidR="007401D9" w:rsidRPr="00017BD2" w:rsidRDefault="007401D9" w:rsidP="00017BD2">
      <w:pPr>
        <w:jc w:val="both"/>
        <w:rPr>
          <w:bCs/>
          <w:lang w:val="en-GB"/>
        </w:rPr>
      </w:pPr>
    </w:p>
    <w:p w:rsidR="0016135C" w:rsidRPr="00D87FFC" w:rsidRDefault="0016135C" w:rsidP="001F723A">
      <w:pPr>
        <w:numPr>
          <w:ilvl w:val="0"/>
          <w:numId w:val="12"/>
        </w:numPr>
        <w:tabs>
          <w:tab w:val="left" w:pos="709"/>
        </w:tabs>
        <w:suppressAutoHyphens/>
        <w:autoSpaceDE w:val="0"/>
        <w:ind w:left="450" w:hanging="450"/>
        <w:jc w:val="both"/>
        <w:rPr>
          <w:color w:val="000000"/>
          <w:lang w:val="en-GB" w:eastAsia="nl-NL"/>
        </w:rPr>
      </w:pPr>
      <w:r w:rsidRPr="00D87FFC">
        <w:rPr>
          <w:color w:val="000000"/>
          <w:lang w:val="en-GB" w:eastAsia="nl-NL"/>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Thus, in accordance with the continuing obligation to investigate (see § </w:t>
      </w:r>
      <w:r w:rsidR="00D87FFC" w:rsidRPr="00D87FFC">
        <w:rPr>
          <w:color w:val="000000"/>
          <w:lang w:val="en-GB" w:eastAsia="nl-NL"/>
        </w:rPr>
        <w:t>81</w:t>
      </w:r>
      <w:r w:rsidRPr="00D87FFC">
        <w:rPr>
          <w:color w:val="000000"/>
          <w:lang w:val="en-GB" w:eastAsia="nl-NL"/>
        </w:rPr>
        <w:t xml:space="preserve"> above), the assessment of the whole investigation is brought within the period of the Panel’s jurisdiction.</w:t>
      </w:r>
    </w:p>
    <w:p w:rsidR="000E4F11" w:rsidRPr="00D87FFC" w:rsidRDefault="000E4F11" w:rsidP="00CD1884">
      <w:pPr>
        <w:rPr>
          <w:color w:val="000000"/>
          <w:lang w:val="en-GB"/>
        </w:rPr>
      </w:pPr>
    </w:p>
    <w:p w:rsidR="00560566" w:rsidRPr="00D87FFC" w:rsidRDefault="00C92D91" w:rsidP="001F723A">
      <w:pPr>
        <w:numPr>
          <w:ilvl w:val="0"/>
          <w:numId w:val="12"/>
        </w:numPr>
        <w:tabs>
          <w:tab w:val="left" w:pos="709"/>
        </w:tabs>
        <w:suppressAutoHyphens/>
        <w:autoSpaceDE w:val="0"/>
        <w:ind w:left="450" w:hanging="450"/>
        <w:jc w:val="both"/>
        <w:rPr>
          <w:lang w:val="en-GB"/>
        </w:rPr>
      </w:pPr>
      <w:r w:rsidRPr="00D87FFC">
        <w:rPr>
          <w:color w:val="000000"/>
          <w:lang w:val="en-GB" w:eastAsia="nl-NL"/>
        </w:rPr>
        <w:t>A</w:t>
      </w:r>
      <w:r w:rsidR="000E4F11" w:rsidRPr="00D87FFC">
        <w:rPr>
          <w:color w:val="000000"/>
          <w:lang w:val="en-GB" w:eastAsia="nl-NL"/>
        </w:rPr>
        <w:t xml:space="preserve">lthough the </w:t>
      </w:r>
      <w:r w:rsidRPr="00D87FFC">
        <w:rPr>
          <w:color w:val="000000"/>
          <w:lang w:val="en-GB" w:eastAsia="nl-NL"/>
        </w:rPr>
        <w:t>ident</w:t>
      </w:r>
      <w:r w:rsidR="001F723A" w:rsidRPr="00D87FFC">
        <w:rPr>
          <w:color w:val="000000"/>
          <w:lang w:val="en-GB" w:eastAsia="nl-NL"/>
        </w:rPr>
        <w:t xml:space="preserve">ification of Mr </w:t>
      </w:r>
      <w:proofErr w:type="spellStart"/>
      <w:r w:rsidR="001F723A" w:rsidRPr="00D87FFC">
        <w:rPr>
          <w:color w:val="000000"/>
          <w:lang w:val="en-GB" w:eastAsia="nl-NL"/>
        </w:rPr>
        <w:t>Mlađan</w:t>
      </w:r>
      <w:proofErr w:type="spellEnd"/>
      <w:r w:rsidR="001F723A" w:rsidRPr="00D87FFC">
        <w:rPr>
          <w:color w:val="000000"/>
          <w:lang w:val="en-GB" w:eastAsia="nl-NL"/>
        </w:rPr>
        <w:t xml:space="preserve"> </w:t>
      </w:r>
      <w:proofErr w:type="spellStart"/>
      <w:r w:rsidR="001F723A" w:rsidRPr="00D87FFC">
        <w:rPr>
          <w:color w:val="000000"/>
          <w:lang w:val="en-GB" w:eastAsia="nl-NL"/>
        </w:rPr>
        <w:t>Mavrić</w:t>
      </w:r>
      <w:proofErr w:type="spellEnd"/>
      <w:r w:rsidR="001F723A" w:rsidRPr="00D87FFC">
        <w:rPr>
          <w:color w:val="000000"/>
          <w:lang w:val="en-GB" w:eastAsia="nl-NL"/>
        </w:rPr>
        <w:t xml:space="preserve"> </w:t>
      </w:r>
      <w:r w:rsidR="00C85CFF" w:rsidRPr="00D87FFC">
        <w:rPr>
          <w:color w:val="000000"/>
          <w:lang w:val="en-GB" w:eastAsia="nl-NL"/>
        </w:rPr>
        <w:t>and the handover of his mortal remains to the family</w:t>
      </w:r>
      <w:r w:rsidR="000E4F11" w:rsidRPr="00D87FFC">
        <w:rPr>
          <w:color w:val="000000"/>
          <w:lang w:val="en-GB" w:eastAsia="nl-NL"/>
        </w:rPr>
        <w:t xml:space="preserve"> must be considered in itself an achievement, the Panel recalls that the procedural obligation under Article 2 did not come to an end </w:t>
      </w:r>
      <w:r w:rsidRPr="00D87FFC">
        <w:rPr>
          <w:color w:val="000000"/>
          <w:lang w:val="en-GB" w:eastAsia="nl-NL"/>
        </w:rPr>
        <w:t>with the discovery and identification of his mortal remains</w:t>
      </w:r>
      <w:r w:rsidR="000E4F11" w:rsidRPr="00D87FFC">
        <w:rPr>
          <w:color w:val="000000"/>
          <w:lang w:val="en-GB" w:eastAsia="nl-NL"/>
        </w:rPr>
        <w:t xml:space="preserve">, especially as they showed signs of a violent death. </w:t>
      </w:r>
      <w:r w:rsidRPr="00D87FFC">
        <w:rPr>
          <w:color w:val="000000"/>
          <w:lang w:val="en-GB" w:eastAsia="nl-NL"/>
        </w:rPr>
        <w:t>As those responsible for the abduction and killing had not been located, UNMIK was obligated to use the means at its disposal to regularly review the progress of the investigation to ensure that nothing had</w:t>
      </w:r>
      <w:r w:rsidRPr="00D87FFC">
        <w:rPr>
          <w:lang w:val="en-GB"/>
        </w:rPr>
        <w:t xml:space="preserve"> been overlooked and</w:t>
      </w:r>
      <w:r w:rsidR="000D6BAA" w:rsidRPr="00D87FFC">
        <w:rPr>
          <w:lang w:val="en-GB"/>
        </w:rPr>
        <w:t xml:space="preserve"> that</w:t>
      </w:r>
      <w:r w:rsidRPr="00D87FFC">
        <w:rPr>
          <w:lang w:val="en-GB"/>
        </w:rPr>
        <w:t xml:space="preserve"> any new evidence had been considered, as well as to inform the relatives of </w:t>
      </w:r>
      <w:r w:rsidR="001F723A" w:rsidRPr="00D87FFC">
        <w:rPr>
          <w:lang w:val="en-GB"/>
        </w:rPr>
        <w:t xml:space="preserve">Mr </w:t>
      </w:r>
      <w:proofErr w:type="spellStart"/>
      <w:r w:rsidR="001F723A" w:rsidRPr="00D87FFC">
        <w:rPr>
          <w:lang w:val="en-GB"/>
        </w:rPr>
        <w:t>Mlađan</w:t>
      </w:r>
      <w:proofErr w:type="spellEnd"/>
      <w:r w:rsidR="001F723A" w:rsidRPr="00D87FFC">
        <w:rPr>
          <w:lang w:val="en-GB"/>
        </w:rPr>
        <w:t xml:space="preserve"> </w:t>
      </w:r>
      <w:proofErr w:type="spellStart"/>
      <w:r w:rsidR="001F723A" w:rsidRPr="00D87FFC">
        <w:rPr>
          <w:lang w:val="en-GB"/>
        </w:rPr>
        <w:t>Mavrić</w:t>
      </w:r>
      <w:proofErr w:type="spellEnd"/>
      <w:r w:rsidR="001F723A" w:rsidRPr="00D87FFC">
        <w:rPr>
          <w:lang w:val="en-GB"/>
        </w:rPr>
        <w:t xml:space="preserve"> </w:t>
      </w:r>
      <w:r w:rsidRPr="00D87FFC">
        <w:rPr>
          <w:lang w:val="en-GB"/>
        </w:rPr>
        <w:t>regarding the progress of the investigation.</w:t>
      </w:r>
    </w:p>
    <w:p w:rsidR="001F723A" w:rsidRPr="00D87FFC" w:rsidRDefault="001F723A" w:rsidP="001F723A">
      <w:pPr>
        <w:pStyle w:val="ListParagraph"/>
        <w:autoSpaceDE w:val="0"/>
        <w:ind w:left="360"/>
        <w:jc w:val="both"/>
        <w:rPr>
          <w:color w:val="000000"/>
          <w:lang w:val="en-GB" w:eastAsia="en-US"/>
        </w:rPr>
      </w:pPr>
    </w:p>
    <w:p w:rsidR="001F723A" w:rsidRPr="00D87FFC" w:rsidRDefault="001F723A" w:rsidP="001F723A">
      <w:pPr>
        <w:numPr>
          <w:ilvl w:val="0"/>
          <w:numId w:val="12"/>
        </w:numPr>
        <w:tabs>
          <w:tab w:val="left" w:pos="709"/>
        </w:tabs>
        <w:suppressAutoHyphens/>
        <w:autoSpaceDE w:val="0"/>
        <w:ind w:left="450" w:hanging="450"/>
        <w:jc w:val="both"/>
        <w:rPr>
          <w:lang w:val="en-GB"/>
        </w:rPr>
      </w:pPr>
      <w:r w:rsidRPr="00D87FFC">
        <w:rPr>
          <w:lang w:val="en-GB"/>
        </w:rPr>
        <w:t>The Panel notes</w:t>
      </w:r>
      <w:r w:rsidR="00927FFE" w:rsidRPr="00D87FFC">
        <w:rPr>
          <w:lang w:val="en-GB"/>
        </w:rPr>
        <w:t xml:space="preserve"> with concern</w:t>
      </w:r>
      <w:r w:rsidRPr="00D87FFC">
        <w:rPr>
          <w:lang w:val="en-GB"/>
        </w:rPr>
        <w:t xml:space="preserve"> that, based on the investigative file,</w:t>
      </w:r>
      <w:r w:rsidR="00927FFE" w:rsidRPr="00D87FFC">
        <w:rPr>
          <w:lang w:val="en-GB"/>
        </w:rPr>
        <w:t xml:space="preserve"> and in apparent deviation from normal WCIU procedure,</w:t>
      </w:r>
      <w:r w:rsidRPr="00D87FFC">
        <w:rPr>
          <w:lang w:val="en-GB"/>
        </w:rPr>
        <w:t xml:space="preserve"> the case was never reviewed and that no other action was taken after the handover of Mr </w:t>
      </w:r>
      <w:proofErr w:type="spellStart"/>
      <w:r w:rsidRPr="00D87FFC">
        <w:rPr>
          <w:lang w:val="en-GB"/>
        </w:rPr>
        <w:t>Mlađan</w:t>
      </w:r>
      <w:proofErr w:type="spellEnd"/>
      <w:r w:rsidRPr="00D87FFC">
        <w:rPr>
          <w:lang w:val="en-GB"/>
        </w:rPr>
        <w:t xml:space="preserve"> </w:t>
      </w:r>
      <w:proofErr w:type="spellStart"/>
      <w:r w:rsidRPr="00D87FFC">
        <w:rPr>
          <w:lang w:val="en-GB"/>
        </w:rPr>
        <w:t>Mavrić’s</w:t>
      </w:r>
      <w:proofErr w:type="spellEnd"/>
      <w:r w:rsidRPr="00D87FFC">
        <w:rPr>
          <w:lang w:val="en-GB"/>
        </w:rPr>
        <w:t xml:space="preserve"> mortal remains to his family. </w:t>
      </w:r>
    </w:p>
    <w:p w:rsidR="00560566" w:rsidRPr="001F723A" w:rsidRDefault="00560566" w:rsidP="001F723A">
      <w:pPr>
        <w:tabs>
          <w:tab w:val="left" w:pos="709"/>
        </w:tabs>
        <w:suppressAutoHyphens/>
        <w:autoSpaceDE w:val="0"/>
        <w:ind w:left="450"/>
        <w:jc w:val="both"/>
        <w:rPr>
          <w:lang w:val="en-GB"/>
        </w:rPr>
      </w:pPr>
    </w:p>
    <w:p w:rsidR="00422B73" w:rsidRPr="00D87FFC" w:rsidRDefault="00422B73" w:rsidP="001F723A">
      <w:pPr>
        <w:numPr>
          <w:ilvl w:val="0"/>
          <w:numId w:val="12"/>
        </w:numPr>
        <w:tabs>
          <w:tab w:val="left" w:pos="709"/>
        </w:tabs>
        <w:suppressAutoHyphens/>
        <w:autoSpaceDE w:val="0"/>
        <w:ind w:left="450" w:hanging="450"/>
        <w:jc w:val="both"/>
        <w:rPr>
          <w:lang w:val="en-GB"/>
        </w:rPr>
      </w:pPr>
      <w:r w:rsidRPr="00422B73">
        <w:rPr>
          <w:lang w:val="en-GB"/>
        </w:rPr>
        <w:t xml:space="preserve">The apparent lack of any </w:t>
      </w:r>
      <w:r w:rsidRPr="001F723A">
        <w:rPr>
          <w:lang w:val="en-GB"/>
        </w:rPr>
        <w:t xml:space="preserve">immediate </w:t>
      </w:r>
      <w:r w:rsidRPr="00422B73">
        <w:rPr>
          <w:lang w:val="en-GB"/>
        </w:rPr>
        <w:t xml:space="preserve">reaction from UNMIK Police, and of any adequate action at later stages, may have suggested to the perpetrators that the authorities were either </w:t>
      </w:r>
      <w:r w:rsidRPr="00422B73">
        <w:rPr>
          <w:lang w:val="en-GB"/>
        </w:rPr>
        <w:lastRenderedPageBreak/>
        <w:t xml:space="preserve">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that UNMIK had encountered at the beginning of its mission, which were discussed above, do not justify such inaction, either at the outset or </w:t>
      </w:r>
      <w:r w:rsidRPr="00D87FFC">
        <w:rPr>
          <w:lang w:val="en-GB"/>
        </w:rPr>
        <w:t>subsequently.</w:t>
      </w:r>
    </w:p>
    <w:p w:rsidR="00422B73" w:rsidRPr="00D87FFC" w:rsidRDefault="00422B73" w:rsidP="001A0793">
      <w:pPr>
        <w:rPr>
          <w:lang w:val="en-GB"/>
        </w:rPr>
      </w:pPr>
    </w:p>
    <w:p w:rsidR="00422B73" w:rsidRPr="00D87FFC" w:rsidRDefault="00A533F3" w:rsidP="002D602F">
      <w:pPr>
        <w:numPr>
          <w:ilvl w:val="0"/>
          <w:numId w:val="12"/>
        </w:numPr>
        <w:tabs>
          <w:tab w:val="left" w:pos="709"/>
        </w:tabs>
        <w:suppressAutoHyphens/>
        <w:autoSpaceDE w:val="0"/>
        <w:ind w:left="450" w:hanging="450"/>
        <w:jc w:val="both"/>
        <w:rPr>
          <w:lang w:val="en-GB"/>
        </w:rPr>
      </w:pPr>
      <w:r w:rsidRPr="00D87FFC">
        <w:rPr>
          <w:lang w:val="en-GB"/>
        </w:rPr>
        <w:t>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w:t>
      </w:r>
      <w:r w:rsidR="009C0C57" w:rsidRPr="00D87FFC">
        <w:rPr>
          <w:lang w:val="en-GB"/>
        </w:rPr>
        <w:t>ntifying the perpetrators and</w:t>
      </w:r>
      <w:r w:rsidRPr="00D87FFC">
        <w:rPr>
          <w:lang w:val="en-GB"/>
        </w:rPr>
        <w:t xml:space="preserve"> bring</w:t>
      </w:r>
      <w:r w:rsidR="009C0C57" w:rsidRPr="00D87FFC">
        <w:rPr>
          <w:lang w:val="en-GB"/>
        </w:rPr>
        <w:t>ing</w:t>
      </w:r>
      <w:r w:rsidRPr="00D87FFC">
        <w:rPr>
          <w:lang w:val="en-GB"/>
        </w:rPr>
        <w:t xml:space="preserve"> them to justice. In this sense the Panel considers that the investigation was not adequate and did not comply with the requirements of promptness, expedition and effectiveness (see § </w:t>
      </w:r>
      <w:r w:rsidR="000D6BAA" w:rsidRPr="00D87FFC">
        <w:t>7</w:t>
      </w:r>
      <w:r w:rsidR="003A521C" w:rsidRPr="00D87FFC">
        <w:t>8</w:t>
      </w:r>
      <w:r w:rsidRPr="00D87FFC">
        <w:rPr>
          <w:lang w:val="en-GB"/>
        </w:rPr>
        <w:t xml:space="preserve"> above), as required by Article 2</w:t>
      </w:r>
      <w:r w:rsidR="00503BB3" w:rsidRPr="00D87FFC">
        <w:rPr>
          <w:lang w:val="en-GB"/>
        </w:rPr>
        <w:t xml:space="preserve"> of the ECHR</w:t>
      </w:r>
      <w:r w:rsidRPr="00D87FFC">
        <w:rPr>
          <w:lang w:val="en-GB"/>
        </w:rPr>
        <w:t>.</w:t>
      </w:r>
    </w:p>
    <w:p w:rsidR="00422B73" w:rsidRPr="00D87FFC" w:rsidRDefault="00422B73" w:rsidP="00422B73">
      <w:pPr>
        <w:pStyle w:val="ListParagraph"/>
      </w:pPr>
    </w:p>
    <w:p w:rsidR="00422B73" w:rsidRPr="00D87FFC" w:rsidRDefault="00A533F3" w:rsidP="002D602F">
      <w:pPr>
        <w:numPr>
          <w:ilvl w:val="0"/>
          <w:numId w:val="12"/>
        </w:numPr>
        <w:tabs>
          <w:tab w:val="left" w:pos="709"/>
        </w:tabs>
        <w:suppressAutoHyphens/>
        <w:autoSpaceDE w:val="0"/>
        <w:ind w:left="450" w:hanging="450"/>
        <w:jc w:val="both"/>
        <w:rPr>
          <w:lang w:val="en-GB"/>
        </w:rPr>
      </w:pPr>
      <w:r w:rsidRPr="00D87FFC">
        <w:t xml:space="preserve">As </w:t>
      </w:r>
      <w:r w:rsidRPr="00D87FFC">
        <w:rPr>
          <w:lang w:val="en-GB"/>
        </w:rPr>
        <w:t>concerns</w:t>
      </w:r>
      <w:r w:rsidRPr="00D87FFC">
        <w:rPr>
          <w:lang w:val="en-GB" w:eastAsia="en-GB"/>
        </w:rPr>
        <w:t xml:space="preserve"> </w:t>
      </w:r>
      <w:r w:rsidRPr="00D87FFC">
        <w:rPr>
          <w:lang w:val="en-GB"/>
        </w:rPr>
        <w:t>the</w:t>
      </w:r>
      <w:r w:rsidRPr="00D87FFC">
        <w:rPr>
          <w:lang w:val="en-GB" w:eastAsia="en-GB"/>
        </w:rPr>
        <w:t xml:space="preserve"> requirement of </w:t>
      </w:r>
      <w:r w:rsidRPr="00D87FFC">
        <w:t>public</w:t>
      </w:r>
      <w:r w:rsidRPr="00D87FFC">
        <w:rPr>
          <w:lang w:val="en-GB" w:eastAsia="en-GB"/>
        </w:rPr>
        <w:t xml:space="preserve"> scrutiny, the Panel recalls that Article 2 also requires </w:t>
      </w:r>
      <w:r w:rsidRPr="00D87FFC">
        <w:rPr>
          <w:lang w:val="en-GB"/>
        </w:rPr>
        <w:t>the</w:t>
      </w:r>
      <w:r w:rsidRPr="00D87FFC">
        <w:rPr>
          <w:lang w:val="en-GB" w:eastAsia="en-GB"/>
        </w:rPr>
        <w:t xml:space="preserve"> </w:t>
      </w:r>
      <w:r w:rsidRPr="00D87FFC">
        <w:rPr>
          <w:lang w:val="en-GB"/>
        </w:rPr>
        <w:t>victim</w:t>
      </w:r>
      <w:r w:rsidR="00503BB3" w:rsidRPr="00D87FFC">
        <w:rPr>
          <w:lang w:val="en-GB"/>
        </w:rPr>
        <w:t>s’</w:t>
      </w:r>
      <w:r w:rsidRPr="00D87FFC">
        <w:rPr>
          <w:lang w:val="en-GB" w:eastAsia="en-GB"/>
        </w:rPr>
        <w:t xml:space="preserve"> next-of-kin to be involved in the investigation to the extent necessary to safeguard his or her legitimate interests.</w:t>
      </w:r>
    </w:p>
    <w:p w:rsidR="00422B73" w:rsidRDefault="00422B73" w:rsidP="003C04A5">
      <w:pPr>
        <w:pStyle w:val="ListParagraph"/>
        <w:jc w:val="both"/>
      </w:pPr>
    </w:p>
    <w:p w:rsidR="00422B73" w:rsidRPr="00D87FFC" w:rsidRDefault="003C04A5" w:rsidP="002D602F">
      <w:pPr>
        <w:numPr>
          <w:ilvl w:val="0"/>
          <w:numId w:val="12"/>
        </w:numPr>
        <w:tabs>
          <w:tab w:val="left" w:pos="709"/>
        </w:tabs>
        <w:suppressAutoHyphens/>
        <w:autoSpaceDE w:val="0"/>
        <w:ind w:left="450" w:hanging="450"/>
        <w:jc w:val="both"/>
      </w:pPr>
      <w:r w:rsidRPr="00D87FFC">
        <w:t>The complainant states that she received no feedback from UNMIK on the investigation concerning her husband. The Panel notes that</w:t>
      </w:r>
      <w:r w:rsidR="00830055" w:rsidRPr="00D87FFC">
        <w:t xml:space="preserve"> the only documented contact between the complainant and UNMIK was the handover of </w:t>
      </w:r>
      <w:r w:rsidR="00C20B6F" w:rsidRPr="00D87FFC">
        <w:rPr>
          <w:lang w:val="en-GB"/>
        </w:rPr>
        <w:t>Mr</w:t>
      </w:r>
      <w:r w:rsidR="00C20B6F" w:rsidRPr="00D87FFC">
        <w:rPr>
          <w:color w:val="000000"/>
          <w:lang w:val="en-GB" w:eastAsia="nl-NL"/>
        </w:rPr>
        <w:t xml:space="preserve"> </w:t>
      </w:r>
      <w:proofErr w:type="spellStart"/>
      <w:r w:rsidR="00C20B6F" w:rsidRPr="00D87FFC">
        <w:rPr>
          <w:color w:val="000000"/>
          <w:lang w:val="en-GB" w:eastAsia="nl-NL"/>
        </w:rPr>
        <w:t>Mlađan</w:t>
      </w:r>
      <w:proofErr w:type="spellEnd"/>
      <w:r w:rsidR="00C20B6F" w:rsidRPr="00D87FFC">
        <w:rPr>
          <w:color w:val="000000"/>
          <w:lang w:val="en-GB" w:eastAsia="nl-NL"/>
        </w:rPr>
        <w:t xml:space="preserve"> </w:t>
      </w:r>
      <w:proofErr w:type="spellStart"/>
      <w:r w:rsidR="00C20B6F" w:rsidRPr="00D87FFC">
        <w:rPr>
          <w:color w:val="000000"/>
          <w:lang w:val="en-GB" w:eastAsia="nl-NL"/>
        </w:rPr>
        <w:t>Mavrić’s</w:t>
      </w:r>
      <w:proofErr w:type="spellEnd"/>
      <w:r w:rsidR="00C20B6F" w:rsidRPr="00D87FFC">
        <w:rPr>
          <w:color w:val="000000"/>
          <w:lang w:val="en-GB"/>
        </w:rPr>
        <w:t xml:space="preserve"> </w:t>
      </w:r>
      <w:r w:rsidR="00830055" w:rsidRPr="00D87FFC">
        <w:rPr>
          <w:lang w:val="en-GB"/>
        </w:rPr>
        <w:t>mortal remains from the OMPF to his family</w:t>
      </w:r>
      <w:r w:rsidR="00C20B6F" w:rsidRPr="00D87FFC">
        <w:t xml:space="preserve"> in 2003</w:t>
      </w:r>
      <w:r w:rsidRPr="00D87FFC">
        <w:t>. As the Panel has already noted, no statement was ever taken from the complainant</w:t>
      </w:r>
      <w:r w:rsidR="00830055" w:rsidRPr="00D87FFC">
        <w:t xml:space="preserve"> or other family members </w:t>
      </w:r>
      <w:r w:rsidRPr="00D87FFC">
        <w:t>and</w:t>
      </w:r>
      <w:r w:rsidR="00830055" w:rsidRPr="00D87FFC">
        <w:t xml:space="preserve"> no information was given to them</w:t>
      </w:r>
      <w:r w:rsidR="00C20B6F" w:rsidRPr="00D87FFC">
        <w:t xml:space="preserve"> concerning any</w:t>
      </w:r>
      <w:r w:rsidRPr="00D87FFC">
        <w:t xml:space="preserve"> </w:t>
      </w:r>
      <w:r w:rsidR="00830055" w:rsidRPr="00D87FFC">
        <w:t>progress</w:t>
      </w:r>
      <w:r w:rsidR="00C20B6F" w:rsidRPr="00D87FFC">
        <w:t xml:space="preserve"> of the investigation</w:t>
      </w:r>
      <w:r w:rsidRPr="00D87FFC">
        <w:t>. The Panel therefore considers that the investigation was not accessible to the complainant’s family as required by Article 2.</w:t>
      </w:r>
    </w:p>
    <w:p w:rsidR="001A7B85" w:rsidRPr="000D6BAA" w:rsidRDefault="001A7B85" w:rsidP="001A7B85">
      <w:pPr>
        <w:jc w:val="both"/>
      </w:pPr>
    </w:p>
    <w:p w:rsidR="00A71A89" w:rsidRPr="00D87FFC" w:rsidRDefault="00A533F3" w:rsidP="002D602F">
      <w:pPr>
        <w:numPr>
          <w:ilvl w:val="0"/>
          <w:numId w:val="12"/>
        </w:numPr>
        <w:tabs>
          <w:tab w:val="left" w:pos="709"/>
        </w:tabs>
        <w:suppressAutoHyphens/>
        <w:autoSpaceDE w:val="0"/>
        <w:ind w:left="450" w:hanging="450"/>
        <w:jc w:val="both"/>
        <w:rPr>
          <w:lang w:val="en-GB"/>
        </w:rPr>
      </w:pPr>
      <w:r w:rsidRPr="00D87FFC">
        <w:rPr>
          <w:lang w:val="en-GB"/>
        </w:rPr>
        <w:t xml:space="preserve">In light of the </w:t>
      </w:r>
      <w:r w:rsidRPr="00D87FFC">
        <w:rPr>
          <w:bCs/>
        </w:rPr>
        <w:t>deficiencies</w:t>
      </w:r>
      <w:r w:rsidRPr="00D87FFC">
        <w:rPr>
          <w:lang w:val="en-GB"/>
        </w:rPr>
        <w:t xml:space="preserve"> and shortcomings described above, the Panel concludes that UNMIK failed </w:t>
      </w:r>
      <w:r w:rsidRPr="00D87FFC">
        <w:t>to carry out an effective investigation into the</w:t>
      </w:r>
      <w:r w:rsidR="00A71A89" w:rsidRPr="00D87FFC">
        <w:t xml:space="preserve"> abduction and</w:t>
      </w:r>
      <w:r w:rsidRPr="00D87FFC">
        <w:t xml:space="preserve"> </w:t>
      </w:r>
      <w:r w:rsidR="003F6AD6" w:rsidRPr="00D87FFC">
        <w:t>killing</w:t>
      </w:r>
      <w:r w:rsidRPr="00D87FFC">
        <w:t xml:space="preserve"> of </w:t>
      </w:r>
      <w:r w:rsidR="00A71A89" w:rsidRPr="00D87FFC">
        <w:t xml:space="preserve">Mr </w:t>
      </w:r>
      <w:r w:rsidR="00C20B6F" w:rsidRPr="00D87FFC">
        <w:rPr>
          <w:color w:val="000000"/>
          <w:lang w:val="en-GB" w:eastAsia="nl-NL"/>
        </w:rPr>
        <w:t xml:space="preserve">Mr </w:t>
      </w:r>
      <w:proofErr w:type="spellStart"/>
      <w:r w:rsidR="00C20B6F" w:rsidRPr="00D87FFC">
        <w:rPr>
          <w:color w:val="000000"/>
          <w:lang w:val="en-GB" w:eastAsia="nl-NL"/>
        </w:rPr>
        <w:t>Mlađan</w:t>
      </w:r>
      <w:proofErr w:type="spellEnd"/>
      <w:r w:rsidR="00C20B6F" w:rsidRPr="00D87FFC">
        <w:rPr>
          <w:color w:val="000000"/>
          <w:lang w:val="en-GB" w:eastAsia="nl-NL"/>
        </w:rPr>
        <w:t xml:space="preserve"> </w:t>
      </w:r>
      <w:proofErr w:type="spellStart"/>
      <w:r w:rsidR="00C20B6F" w:rsidRPr="00D87FFC">
        <w:rPr>
          <w:color w:val="000000"/>
          <w:lang w:val="en-GB" w:eastAsia="nl-NL"/>
        </w:rPr>
        <w:t>Mavrić</w:t>
      </w:r>
      <w:proofErr w:type="spellEnd"/>
      <w:r w:rsidRPr="00D87FFC">
        <w:rPr>
          <w:lang w:val="en-GB"/>
        </w:rPr>
        <w:t xml:space="preserve">. There </w:t>
      </w:r>
      <w:r w:rsidRPr="00D87FFC">
        <w:rPr>
          <w:lang w:val="en-GB" w:eastAsia="en-GB"/>
        </w:rPr>
        <w:t>has</w:t>
      </w:r>
      <w:r w:rsidRPr="00D87FFC">
        <w:rPr>
          <w:lang w:val="en-GB"/>
        </w:rPr>
        <w:t xml:space="preserve"> accordingly been a violation of Article 2, procedural limb, of the ECHR. </w:t>
      </w:r>
    </w:p>
    <w:p w:rsidR="00A71A89" w:rsidRDefault="00A71A89" w:rsidP="00A71A89">
      <w:pPr>
        <w:pStyle w:val="ListParagraph"/>
        <w:rPr>
          <w:lang w:val="en-GB"/>
        </w:rPr>
      </w:pPr>
    </w:p>
    <w:p w:rsidR="002D602F" w:rsidRPr="00A71A89" w:rsidRDefault="002D602F" w:rsidP="00A71A89">
      <w:pPr>
        <w:pStyle w:val="ListParagraph"/>
        <w:rPr>
          <w:lang w:val="en-GB"/>
        </w:rPr>
      </w:pPr>
    </w:p>
    <w:p w:rsidR="00A71A89" w:rsidRPr="00A71A89" w:rsidRDefault="00A71A89" w:rsidP="00A71A89">
      <w:pPr>
        <w:pStyle w:val="ListParagraph"/>
        <w:ind w:left="0"/>
        <w:rPr>
          <w:b/>
          <w:lang w:val="en-GB"/>
        </w:rPr>
      </w:pPr>
      <w:r w:rsidRPr="001F7985">
        <w:rPr>
          <w:b/>
          <w:lang w:val="en-GB"/>
        </w:rPr>
        <w:t>V. CONCLUDING COMMENTS AND RECOMMENDATIONS</w:t>
      </w:r>
    </w:p>
    <w:p w:rsidR="00A71A89" w:rsidRPr="00A71A89" w:rsidRDefault="00A71A89" w:rsidP="00A71A89">
      <w:pPr>
        <w:pStyle w:val="ListParagraph"/>
        <w:rPr>
          <w:lang w:val="en-GB"/>
        </w:rPr>
      </w:pPr>
    </w:p>
    <w:p w:rsidR="00A71A89" w:rsidRDefault="00F52A7B" w:rsidP="002D602F">
      <w:pPr>
        <w:numPr>
          <w:ilvl w:val="0"/>
          <w:numId w:val="12"/>
        </w:numPr>
        <w:tabs>
          <w:tab w:val="left" w:pos="709"/>
        </w:tabs>
        <w:suppressAutoHyphens/>
        <w:autoSpaceDE w:val="0"/>
        <w:ind w:left="450" w:hanging="450"/>
        <w:jc w:val="both"/>
        <w:rPr>
          <w:lang w:val="en-GB"/>
        </w:rPr>
      </w:pPr>
      <w:r w:rsidRPr="00A71A89">
        <w:rPr>
          <w:lang w:val="en-GB"/>
        </w:rPr>
        <w:t>In light of the Panel’s findings in this case, the Panel is of the opinion that some form of reparation is necessary.</w:t>
      </w:r>
    </w:p>
    <w:p w:rsidR="00A71A89" w:rsidRDefault="00A71A89" w:rsidP="00A71A89">
      <w:pPr>
        <w:pStyle w:val="ListParagraph"/>
        <w:ind w:left="360"/>
        <w:jc w:val="both"/>
        <w:rPr>
          <w:lang w:val="en-GB"/>
        </w:rPr>
      </w:pPr>
    </w:p>
    <w:p w:rsidR="00A71A89" w:rsidRDefault="00C44BD1" w:rsidP="002D602F">
      <w:pPr>
        <w:numPr>
          <w:ilvl w:val="0"/>
          <w:numId w:val="12"/>
        </w:numPr>
        <w:tabs>
          <w:tab w:val="left" w:pos="709"/>
        </w:tabs>
        <w:suppressAutoHyphens/>
        <w:autoSpaceDE w:val="0"/>
        <w:ind w:left="450" w:hanging="450"/>
        <w:jc w:val="both"/>
        <w:rPr>
          <w:lang w:val="en-GB"/>
        </w:rPr>
      </w:pPr>
      <w:r w:rsidRPr="00A71A89">
        <w:rPr>
          <w:lang w:val="en-GB"/>
        </w:rPr>
        <w:t xml:space="preserve">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w:t>
      </w:r>
      <w:r w:rsidRPr="00A71A89">
        <w:rPr>
          <w:lang w:val="en-GB"/>
        </w:rPr>
        <w:lastRenderedPageBreak/>
        <w:t>victim</w:t>
      </w:r>
      <w:r w:rsidR="00560510" w:rsidRPr="00A71A89">
        <w:rPr>
          <w:lang w:val="en-GB"/>
        </w:rPr>
        <w:t>s</w:t>
      </w:r>
      <w:r w:rsidRPr="00A71A89">
        <w:rPr>
          <w:lang w:val="en-GB"/>
        </w:rPr>
        <w:t xml:space="preserve"> and </w:t>
      </w:r>
      <w:r w:rsidR="00560510" w:rsidRPr="00A71A89">
        <w:rPr>
          <w:lang w:val="en-GB"/>
        </w:rPr>
        <w:t>their</w:t>
      </w:r>
      <w:r w:rsidR="00250C69" w:rsidRPr="00A71A89">
        <w:rPr>
          <w:lang w:val="en-GB"/>
        </w:rPr>
        <w:t xml:space="preserve"> </w:t>
      </w:r>
      <w:r w:rsidRPr="00A71A89">
        <w:rPr>
          <w:lang w:val="en-GB"/>
        </w:rPr>
        <w:t>next-of-kin, in particular the right to have the truth of the matter determined.</w:t>
      </w:r>
    </w:p>
    <w:p w:rsidR="00A71A89" w:rsidRPr="00A71A89" w:rsidRDefault="00A71A89" w:rsidP="00A71A89">
      <w:pPr>
        <w:pStyle w:val="ListParagraph"/>
        <w:rPr>
          <w:bCs/>
          <w:lang w:val="en-GB"/>
        </w:rPr>
      </w:pPr>
    </w:p>
    <w:p w:rsidR="00A71A89" w:rsidRPr="00A71A89" w:rsidRDefault="00F52A7B" w:rsidP="002D602F">
      <w:pPr>
        <w:numPr>
          <w:ilvl w:val="0"/>
          <w:numId w:val="12"/>
        </w:numPr>
        <w:tabs>
          <w:tab w:val="left" w:pos="709"/>
        </w:tabs>
        <w:suppressAutoHyphens/>
        <w:autoSpaceDE w:val="0"/>
        <w:ind w:left="450" w:hanging="450"/>
        <w:jc w:val="both"/>
        <w:rPr>
          <w:lang w:val="en-GB"/>
        </w:rPr>
      </w:pPr>
      <w:r w:rsidRPr="00A71A89">
        <w:rPr>
          <w:bCs/>
          <w:lang w:val="en-GB"/>
        </w:rPr>
        <w:t xml:space="preserve">The </w:t>
      </w:r>
      <w:r w:rsidRPr="00A71A89">
        <w:rPr>
          <w:lang w:val="en-GB"/>
        </w:rPr>
        <w:t>Panel</w:t>
      </w:r>
      <w:r w:rsidRPr="00A71A89">
        <w:rPr>
          <w:bCs/>
          <w:lang w:val="en-GB"/>
        </w:rPr>
        <w:t xml:space="preserve"> </w:t>
      </w:r>
      <w:r w:rsidRPr="002D602F">
        <w:rPr>
          <w:lang w:val="en-GB"/>
        </w:rPr>
        <w:t>notes</w:t>
      </w:r>
      <w:r w:rsidRPr="00A71A89">
        <w:rPr>
          <w:bCs/>
          <w:lang w:val="en-GB"/>
        </w:rPr>
        <w:t xml:space="preserve"> the SRSG’s own concerns that the inadequate resources, especially at the outset of </w:t>
      </w:r>
      <w:r w:rsidRPr="00A71A89">
        <w:rPr>
          <w:lang w:val="en-GB"/>
        </w:rPr>
        <w:t>UNMIK’s</w:t>
      </w:r>
      <w:r w:rsidRPr="00A71A89">
        <w:rPr>
          <w:bCs/>
          <w:lang w:val="en-GB"/>
        </w:rPr>
        <w:t xml:space="preserve"> </w:t>
      </w:r>
      <w:r w:rsidRPr="00A71A89">
        <w:rPr>
          <w:lang w:val="en-GB"/>
        </w:rPr>
        <w:t>mission</w:t>
      </w:r>
      <w:r w:rsidRPr="00A71A89">
        <w:rPr>
          <w:bCs/>
          <w:lang w:val="en-GB"/>
        </w:rPr>
        <w:t>, made compliance with UNMIK’s human rights obligations difficult to achieve.</w:t>
      </w:r>
    </w:p>
    <w:p w:rsidR="00A71A89" w:rsidRPr="00A71A89" w:rsidRDefault="00A71A89" w:rsidP="00A71A89">
      <w:pPr>
        <w:pStyle w:val="ListParagraph"/>
        <w:rPr>
          <w:lang w:val="en-GB"/>
        </w:rPr>
      </w:pPr>
    </w:p>
    <w:p w:rsidR="00A71A89" w:rsidRPr="00547A80" w:rsidRDefault="00F52A7B" w:rsidP="002D602F">
      <w:pPr>
        <w:numPr>
          <w:ilvl w:val="0"/>
          <w:numId w:val="12"/>
        </w:numPr>
        <w:tabs>
          <w:tab w:val="left" w:pos="709"/>
        </w:tabs>
        <w:suppressAutoHyphens/>
        <w:autoSpaceDE w:val="0"/>
        <w:ind w:left="450" w:hanging="450"/>
        <w:jc w:val="both"/>
        <w:rPr>
          <w:lang w:val="en-GB"/>
        </w:rPr>
      </w:pPr>
      <w:r w:rsidRPr="00547A80">
        <w:rPr>
          <w:lang w:val="en-GB"/>
        </w:rPr>
        <w:t xml:space="preserve">It would normally be for UNMIK to take the appropriate measures in order to put an end to </w:t>
      </w:r>
      <w:r w:rsidRPr="00D87FFC">
        <w:rPr>
          <w:lang w:val="en-GB"/>
        </w:rPr>
        <w:t xml:space="preserve">the violation noted and to redress as far as possible the effects thereof. However, as the Panel noted above (see § </w:t>
      </w:r>
      <w:r w:rsidR="001A7B85" w:rsidRPr="00D87FFC">
        <w:t>19</w:t>
      </w:r>
      <w:r w:rsidRPr="00D87FFC">
        <w:rPr>
          <w:lang w:val="en-GB"/>
        </w:rPr>
        <w:t xml:space="preserve">), UNMIK’s responsibility with regard to the administration of justice in Kosovo ended on 9 </w:t>
      </w:r>
      <w:r w:rsidR="00C3019E" w:rsidRPr="00D87FFC">
        <w:rPr>
          <w:lang w:val="en-GB"/>
        </w:rPr>
        <w:t>December</w:t>
      </w:r>
      <w:r w:rsidR="00C3019E" w:rsidRPr="00547A80">
        <w:rPr>
          <w:lang w:val="en-GB"/>
        </w:rPr>
        <w:t xml:space="preserve"> 2008. </w:t>
      </w:r>
      <w:r w:rsidRPr="00547A80">
        <w:rPr>
          <w:lang w:val="en-GB"/>
        </w:rPr>
        <w:t xml:space="preserve">UNMIK therefore is no longer in a position to take measures that will have a direct impact on the investigations that are still pending before EULEX or local authorities. Likewise, following the </w:t>
      </w:r>
      <w:r w:rsidR="00E17FE1">
        <w:rPr>
          <w:lang w:val="en-GB"/>
        </w:rPr>
        <w:t xml:space="preserve">unilateral </w:t>
      </w:r>
      <w:r w:rsidRPr="00547A80">
        <w:rPr>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A71A89" w:rsidRPr="00A71A89" w:rsidRDefault="00A71A89" w:rsidP="00A71A89">
      <w:pPr>
        <w:pStyle w:val="ListParagraph"/>
        <w:rPr>
          <w:lang w:val="en-GB"/>
        </w:rPr>
      </w:pPr>
    </w:p>
    <w:p w:rsidR="00F52A7B" w:rsidRPr="00A71A89" w:rsidRDefault="00F52A7B" w:rsidP="002D602F">
      <w:pPr>
        <w:numPr>
          <w:ilvl w:val="0"/>
          <w:numId w:val="12"/>
        </w:numPr>
        <w:tabs>
          <w:tab w:val="left" w:pos="709"/>
        </w:tabs>
        <w:suppressAutoHyphens/>
        <w:autoSpaceDE w:val="0"/>
        <w:ind w:left="450" w:hanging="450"/>
        <w:jc w:val="both"/>
        <w:rPr>
          <w:lang w:val="en-GB"/>
        </w:rPr>
      </w:pPr>
      <w:r w:rsidRPr="00A71A89">
        <w:rPr>
          <w:lang w:val="en-GB"/>
        </w:rPr>
        <w:t xml:space="preserve">The Panel considers that this factual situation does not relieve UNMIK from its obligation to redress as far as possible the effects of the violations for which it is responsible. </w:t>
      </w:r>
    </w:p>
    <w:p w:rsidR="00F52A7B" w:rsidRPr="001F7985" w:rsidRDefault="00F52A7B" w:rsidP="00F0719F">
      <w:pPr>
        <w:rPr>
          <w:b/>
          <w:bCs/>
          <w:lang w:val="en-GB"/>
        </w:rPr>
      </w:pPr>
    </w:p>
    <w:p w:rsidR="00F52A7B" w:rsidRPr="00547A80" w:rsidRDefault="00537784" w:rsidP="00560510">
      <w:pPr>
        <w:suppressAutoHyphens/>
        <w:autoSpaceDE w:val="0"/>
        <w:ind w:left="450"/>
        <w:jc w:val="both"/>
        <w:rPr>
          <w:b/>
          <w:bCs/>
          <w:lang w:val="en-GB"/>
        </w:rPr>
      </w:pPr>
      <w:r w:rsidRPr="00547A80">
        <w:rPr>
          <w:b/>
          <w:bCs/>
          <w:lang w:val="en-GB"/>
        </w:rPr>
        <w:t>With respect to the complainant</w:t>
      </w:r>
      <w:r w:rsidR="00F52A7B" w:rsidRPr="00547A80">
        <w:rPr>
          <w:b/>
          <w:bCs/>
          <w:lang w:val="en-GB"/>
        </w:rPr>
        <w:t xml:space="preserve"> and the case the Panel considers appropriate that UNMIK:</w:t>
      </w:r>
    </w:p>
    <w:p w:rsidR="00F52A7B" w:rsidRPr="00547A80" w:rsidRDefault="00F52A7B" w:rsidP="00F52A7B">
      <w:pPr>
        <w:pStyle w:val="ListParagraph"/>
        <w:rPr>
          <w:b/>
          <w:bCs/>
          <w:lang w:val="en-GB"/>
        </w:rPr>
      </w:pPr>
    </w:p>
    <w:p w:rsidR="00F52A7B" w:rsidRPr="00D87FFC" w:rsidRDefault="00F52A7B" w:rsidP="009C4FE8">
      <w:pPr>
        <w:numPr>
          <w:ilvl w:val="0"/>
          <w:numId w:val="8"/>
        </w:numPr>
        <w:tabs>
          <w:tab w:val="left" w:pos="900"/>
        </w:tabs>
        <w:suppressAutoHyphens/>
        <w:autoSpaceDE w:val="0"/>
        <w:ind w:left="720" w:firstLine="0"/>
        <w:jc w:val="both"/>
        <w:rPr>
          <w:b/>
          <w:bCs/>
          <w:lang w:val="en-GB"/>
        </w:rPr>
      </w:pPr>
      <w:r w:rsidRPr="00547A80">
        <w:rPr>
          <w:lang w:val="en-GB"/>
        </w:rPr>
        <w:t>In line with the case law of the European Court of Human Rights on situations of limited State jurisd</w:t>
      </w:r>
      <w:r w:rsidR="00A47B30" w:rsidRPr="00547A80">
        <w:rPr>
          <w:lang w:val="en-GB"/>
        </w:rPr>
        <w:t xml:space="preserve">iction (see ECtHR </w:t>
      </w:r>
      <w:r w:rsidR="00E10646" w:rsidRPr="00547A80">
        <w:rPr>
          <w:lang w:val="en-GB"/>
        </w:rPr>
        <w:t>[</w:t>
      </w:r>
      <w:r w:rsidR="00A47B30" w:rsidRPr="00547A80">
        <w:rPr>
          <w:lang w:val="en-GB"/>
        </w:rPr>
        <w:t>GC</w:t>
      </w:r>
      <w:r w:rsidR="00E10646" w:rsidRPr="00547A80">
        <w:rPr>
          <w:lang w:val="en-GB"/>
        </w:rPr>
        <w:t>]</w:t>
      </w:r>
      <w:r w:rsidRPr="00547A80">
        <w:rPr>
          <w:lang w:val="en-GB"/>
        </w:rPr>
        <w:t xml:space="preserve">, </w:t>
      </w:r>
      <w:r w:rsidRPr="00547A80">
        <w:rPr>
          <w:i/>
          <w:lang w:val="en-GB"/>
        </w:rPr>
        <w:t>Ilaşcu and Others v. Moldova and Russia</w:t>
      </w:r>
      <w:r w:rsidRPr="00547A80">
        <w:rPr>
          <w:lang w:val="en-GB"/>
        </w:rPr>
        <w:t xml:space="preserve">, no. 48787/99, judgment of 8 July 2004, </w:t>
      </w:r>
      <w:r w:rsidRPr="00547A80">
        <w:rPr>
          <w:i/>
          <w:lang w:val="en-GB"/>
        </w:rPr>
        <w:t>ECHR</w:t>
      </w:r>
      <w:r w:rsidRPr="00547A80">
        <w:rPr>
          <w:lang w:val="en-GB"/>
        </w:rPr>
        <w:t xml:space="preserve">, 2004-VII, § 333; ECtHR, </w:t>
      </w:r>
      <w:r w:rsidRPr="00547A80">
        <w:rPr>
          <w:i/>
          <w:lang w:val="en-GB"/>
        </w:rPr>
        <w:t>Al-Saadoon and Mufdhi v. United Kingdom</w:t>
      </w:r>
      <w:r w:rsidRPr="00547A80">
        <w:rPr>
          <w:lang w:val="en-GB"/>
        </w:rPr>
        <w:t>, no. 61498/08, judgment of 2 March 2</w:t>
      </w:r>
      <w:r w:rsidR="00A47B30" w:rsidRPr="00547A80">
        <w:rPr>
          <w:lang w:val="en-GB"/>
        </w:rPr>
        <w:t xml:space="preserve">010, § 171; ECtHR </w:t>
      </w:r>
      <w:r w:rsidR="00E10646" w:rsidRPr="00547A80">
        <w:rPr>
          <w:lang w:val="en-GB"/>
        </w:rPr>
        <w:t>[</w:t>
      </w:r>
      <w:r w:rsidR="00A47B30" w:rsidRPr="00547A80">
        <w:rPr>
          <w:lang w:val="en-GB"/>
        </w:rPr>
        <w:t>GC</w:t>
      </w:r>
      <w:r w:rsidR="00E10646" w:rsidRPr="00547A80">
        <w:rPr>
          <w:lang w:val="en-GB"/>
        </w:rPr>
        <w:t>]</w:t>
      </w:r>
      <w:r w:rsidRPr="00547A80">
        <w:rPr>
          <w:lang w:val="en-GB"/>
        </w:rPr>
        <w:t xml:space="preserve">, </w:t>
      </w:r>
      <w:r w:rsidRPr="00547A80">
        <w:rPr>
          <w:i/>
          <w:lang w:val="en-GB"/>
        </w:rPr>
        <w:t>Catan and Others v. Moldova and Russia</w:t>
      </w:r>
      <w:r w:rsidRPr="00547A80">
        <w:rPr>
          <w:lang w:val="en-GB"/>
        </w:rPr>
        <w:t xml:space="preserve">, nos. 43370/04, 8252/05 and 18454/06, judgment of 19 October 2012, § 109), must endeavour, with all means available to it </w:t>
      </w:r>
      <w:r w:rsidRPr="00547A80">
        <w:rPr>
          <w:i/>
          <w:lang w:val="en-GB"/>
        </w:rPr>
        <w:t>vis-</w:t>
      </w:r>
      <w:r w:rsidRPr="00D87FFC">
        <w:rPr>
          <w:i/>
          <w:lang w:val="en-GB"/>
        </w:rPr>
        <w:t>à-vis</w:t>
      </w:r>
      <w:r w:rsidRPr="00D87FFC">
        <w:rPr>
          <w:lang w:val="en-GB"/>
        </w:rPr>
        <w:t xml:space="preserve"> the</w:t>
      </w:r>
      <w:r w:rsidR="00032CA7" w:rsidRPr="00D87FFC">
        <w:rPr>
          <w:lang w:val="en-GB"/>
        </w:rPr>
        <w:t xml:space="preserve"> competent authorities in Kosovo</w:t>
      </w:r>
      <w:r w:rsidRPr="00D87FFC">
        <w:rPr>
          <w:lang w:val="en-GB"/>
        </w:rPr>
        <w:t xml:space="preserve">, to obtain assurances that the investigations concerning the case at issue will be continued in compliance with the requirements of an effective investigation as envisaged by Article 2, that the circumstances surrounding the </w:t>
      </w:r>
      <w:r w:rsidR="00A71A89" w:rsidRPr="00D87FFC">
        <w:rPr>
          <w:lang w:val="en-GB"/>
        </w:rPr>
        <w:t xml:space="preserve">abduction and </w:t>
      </w:r>
      <w:r w:rsidR="008C1A0D" w:rsidRPr="00D87FFC">
        <w:rPr>
          <w:lang w:val="en-GB"/>
        </w:rPr>
        <w:t>killing of</w:t>
      </w:r>
      <w:r w:rsidR="008C1A0D" w:rsidRPr="00D87FFC">
        <w:rPr>
          <w:bCs/>
          <w:lang w:val="en-GB"/>
        </w:rPr>
        <w:t xml:space="preserve"> </w:t>
      </w:r>
      <w:r w:rsidR="00D96D3D" w:rsidRPr="00D87FFC">
        <w:rPr>
          <w:color w:val="000000"/>
          <w:lang w:val="en-GB" w:eastAsia="nl-NL"/>
        </w:rPr>
        <w:t xml:space="preserve">Mr </w:t>
      </w:r>
      <w:proofErr w:type="spellStart"/>
      <w:r w:rsidR="00D96D3D" w:rsidRPr="00D87FFC">
        <w:rPr>
          <w:color w:val="000000"/>
          <w:lang w:val="en-GB" w:eastAsia="nl-NL"/>
        </w:rPr>
        <w:t>Mlađan</w:t>
      </w:r>
      <w:proofErr w:type="spellEnd"/>
      <w:r w:rsidR="00D96D3D" w:rsidRPr="00D87FFC">
        <w:rPr>
          <w:color w:val="000000"/>
          <w:lang w:val="en-GB" w:eastAsia="nl-NL"/>
        </w:rPr>
        <w:t xml:space="preserve"> </w:t>
      </w:r>
      <w:proofErr w:type="spellStart"/>
      <w:r w:rsidR="00D96D3D" w:rsidRPr="00D87FFC">
        <w:rPr>
          <w:color w:val="000000"/>
          <w:lang w:val="en-GB" w:eastAsia="nl-NL"/>
        </w:rPr>
        <w:t>Mavrić</w:t>
      </w:r>
      <w:proofErr w:type="spellEnd"/>
      <w:r w:rsidR="00A71A89" w:rsidRPr="00D87FFC">
        <w:rPr>
          <w:lang w:val="en-GB"/>
        </w:rPr>
        <w:t xml:space="preserve">. </w:t>
      </w:r>
      <w:r w:rsidRPr="00D87FFC">
        <w:rPr>
          <w:lang w:val="en-GB"/>
        </w:rPr>
        <w:t>will be established and that perpetrators will be brought to justice. The complainant</w:t>
      </w:r>
      <w:r w:rsidR="000E2A2A" w:rsidRPr="00D87FFC">
        <w:rPr>
          <w:lang w:val="en-GB"/>
        </w:rPr>
        <w:t xml:space="preserve"> </w:t>
      </w:r>
      <w:r w:rsidRPr="00D87FFC">
        <w:rPr>
          <w:lang w:val="en-GB"/>
        </w:rPr>
        <w:t>and/or other next-of-kin shall be informed of such proceedings and relevant documents shall be disclosed to them, as necessary;</w:t>
      </w:r>
    </w:p>
    <w:p w:rsidR="00F52A7B" w:rsidRPr="00D87FFC" w:rsidRDefault="00F52A7B" w:rsidP="008C1A0D">
      <w:pPr>
        <w:suppressAutoHyphens/>
        <w:autoSpaceDE w:val="0"/>
        <w:ind w:left="709" w:hanging="270"/>
        <w:jc w:val="both"/>
        <w:rPr>
          <w:b/>
          <w:bCs/>
          <w:lang w:val="en-GB"/>
        </w:rPr>
      </w:pPr>
    </w:p>
    <w:p w:rsidR="00F52A7B" w:rsidRPr="00D87FFC" w:rsidRDefault="00F52A7B" w:rsidP="009C4FE8">
      <w:pPr>
        <w:numPr>
          <w:ilvl w:val="0"/>
          <w:numId w:val="8"/>
        </w:numPr>
        <w:tabs>
          <w:tab w:val="left" w:pos="900"/>
        </w:tabs>
        <w:suppressAutoHyphens/>
        <w:autoSpaceDE w:val="0"/>
        <w:ind w:left="720" w:firstLine="0"/>
        <w:jc w:val="both"/>
        <w:rPr>
          <w:lang w:val="en-GB"/>
        </w:rPr>
      </w:pPr>
      <w:r w:rsidRPr="00D87FFC">
        <w:rPr>
          <w:lang w:val="en-GB"/>
        </w:rPr>
        <w:t xml:space="preserve">Publicly acknowledges, within a reasonable time, responsibility with respect to UNMIK’s failure to adequately investigate the </w:t>
      </w:r>
      <w:r w:rsidR="00A71A89" w:rsidRPr="00D87FFC">
        <w:rPr>
          <w:lang w:val="en-GB"/>
        </w:rPr>
        <w:t>abduction and killing of</w:t>
      </w:r>
      <w:r w:rsidR="00A71A89" w:rsidRPr="00D87FFC">
        <w:rPr>
          <w:bCs/>
          <w:lang w:val="en-GB"/>
        </w:rPr>
        <w:t xml:space="preserve"> Mr </w:t>
      </w:r>
      <w:proofErr w:type="spellStart"/>
      <w:r w:rsidR="00D96D3D" w:rsidRPr="00D87FFC">
        <w:rPr>
          <w:color w:val="000000"/>
          <w:lang w:val="en-GB" w:eastAsia="nl-NL"/>
        </w:rPr>
        <w:t>Mr</w:t>
      </w:r>
      <w:proofErr w:type="spellEnd"/>
      <w:r w:rsidR="00D96D3D" w:rsidRPr="00D87FFC">
        <w:rPr>
          <w:color w:val="000000"/>
          <w:lang w:val="en-GB" w:eastAsia="nl-NL"/>
        </w:rPr>
        <w:t xml:space="preserve"> </w:t>
      </w:r>
      <w:proofErr w:type="spellStart"/>
      <w:r w:rsidR="00D96D3D" w:rsidRPr="00D87FFC">
        <w:rPr>
          <w:color w:val="000000"/>
          <w:lang w:val="en-GB" w:eastAsia="nl-NL"/>
        </w:rPr>
        <w:t>Mlađan</w:t>
      </w:r>
      <w:proofErr w:type="spellEnd"/>
      <w:r w:rsidR="00D96D3D" w:rsidRPr="00D87FFC">
        <w:rPr>
          <w:color w:val="000000"/>
          <w:lang w:val="en-GB" w:eastAsia="nl-NL"/>
        </w:rPr>
        <w:t xml:space="preserve"> </w:t>
      </w:r>
      <w:proofErr w:type="spellStart"/>
      <w:r w:rsidR="00D96D3D" w:rsidRPr="00D87FFC">
        <w:rPr>
          <w:color w:val="000000"/>
          <w:lang w:val="en-GB" w:eastAsia="nl-NL"/>
        </w:rPr>
        <w:t>Mavrić</w:t>
      </w:r>
      <w:proofErr w:type="spellEnd"/>
      <w:r w:rsidR="00D96D3D" w:rsidRPr="00D87FFC">
        <w:rPr>
          <w:color w:val="000000"/>
          <w:lang w:val="en-GB"/>
        </w:rPr>
        <w:t xml:space="preserve"> </w:t>
      </w:r>
      <w:r w:rsidR="006E22C0" w:rsidRPr="00D87FFC">
        <w:rPr>
          <w:lang w:val="en-GB"/>
        </w:rPr>
        <w:t>and make</w:t>
      </w:r>
      <w:r w:rsidRPr="00D87FFC">
        <w:rPr>
          <w:lang w:val="en-GB"/>
        </w:rPr>
        <w:t xml:space="preserve"> a public apology to the complainant and </w:t>
      </w:r>
      <w:r w:rsidR="006E22C0" w:rsidRPr="00D87FFC">
        <w:rPr>
          <w:lang w:val="en-GB"/>
        </w:rPr>
        <w:t>her</w:t>
      </w:r>
      <w:r w:rsidRPr="00D87FFC">
        <w:rPr>
          <w:lang w:val="en-GB"/>
        </w:rPr>
        <w:t xml:space="preserve"> famil</w:t>
      </w:r>
      <w:r w:rsidR="006E22C0" w:rsidRPr="00D87FFC">
        <w:rPr>
          <w:lang w:val="en-GB"/>
        </w:rPr>
        <w:t>y</w:t>
      </w:r>
      <w:r w:rsidRPr="00D87FFC">
        <w:rPr>
          <w:lang w:val="en-GB"/>
        </w:rPr>
        <w:t xml:space="preserve"> in this regard; </w:t>
      </w:r>
    </w:p>
    <w:p w:rsidR="00F52A7B" w:rsidRPr="00D87FFC" w:rsidRDefault="00F52A7B" w:rsidP="008C1A0D">
      <w:pPr>
        <w:suppressAutoHyphens/>
        <w:autoSpaceDE w:val="0"/>
        <w:ind w:left="709" w:hanging="270"/>
        <w:jc w:val="both"/>
        <w:rPr>
          <w:lang w:val="en-GB"/>
        </w:rPr>
      </w:pPr>
    </w:p>
    <w:p w:rsidR="00F52A7B" w:rsidRPr="00D87FFC" w:rsidRDefault="00F52A7B" w:rsidP="009C4FE8">
      <w:pPr>
        <w:numPr>
          <w:ilvl w:val="0"/>
          <w:numId w:val="8"/>
        </w:numPr>
        <w:tabs>
          <w:tab w:val="left" w:pos="900"/>
        </w:tabs>
        <w:suppressAutoHyphens/>
        <w:autoSpaceDE w:val="0"/>
        <w:ind w:left="720" w:firstLine="0"/>
        <w:jc w:val="both"/>
        <w:rPr>
          <w:lang w:val="en-GB"/>
        </w:rPr>
      </w:pPr>
      <w:r w:rsidRPr="00D87FFC">
        <w:rPr>
          <w:lang w:val="en-GB"/>
        </w:rPr>
        <w:t>Takes appropriate steps towards payment of adequate compensation to the complainant for the moral damage suffered due to UNMIK’s failure to conduct an effective investigation.</w:t>
      </w:r>
    </w:p>
    <w:p w:rsidR="00F52A7B" w:rsidRPr="001F7985" w:rsidRDefault="00F52A7B" w:rsidP="00F52A7B">
      <w:pPr>
        <w:suppressAutoHyphens/>
        <w:autoSpaceDE w:val="0"/>
        <w:ind w:left="360"/>
        <w:jc w:val="both"/>
        <w:rPr>
          <w:b/>
          <w:bCs/>
          <w:lang w:val="en-GB"/>
        </w:rPr>
      </w:pPr>
    </w:p>
    <w:p w:rsidR="00F52A7B" w:rsidRPr="001F7985" w:rsidRDefault="00F52A7B" w:rsidP="00560510">
      <w:pPr>
        <w:suppressAutoHyphens/>
        <w:autoSpaceDE w:val="0"/>
        <w:ind w:left="450"/>
        <w:jc w:val="both"/>
        <w:rPr>
          <w:b/>
          <w:bCs/>
          <w:lang w:val="en-GB"/>
        </w:rPr>
      </w:pPr>
      <w:r w:rsidRPr="001F7985">
        <w:rPr>
          <w:b/>
          <w:bCs/>
          <w:lang w:val="en-GB"/>
        </w:rPr>
        <w:lastRenderedPageBreak/>
        <w:t>The Panel also considers appropriate that UNMIK:</w:t>
      </w:r>
    </w:p>
    <w:p w:rsidR="00F52A7B" w:rsidRPr="001F7985" w:rsidRDefault="00F52A7B" w:rsidP="008C1A0D">
      <w:pPr>
        <w:tabs>
          <w:tab w:val="left" w:pos="900"/>
        </w:tabs>
        <w:suppressAutoHyphens/>
        <w:autoSpaceDE w:val="0"/>
        <w:ind w:left="720"/>
        <w:jc w:val="both"/>
        <w:rPr>
          <w:lang w:val="en-GB"/>
        </w:rPr>
      </w:pPr>
    </w:p>
    <w:p w:rsidR="00F52A7B" w:rsidRPr="001F7985" w:rsidRDefault="008025EF" w:rsidP="009C4FE8">
      <w:pPr>
        <w:numPr>
          <w:ilvl w:val="0"/>
          <w:numId w:val="8"/>
        </w:numPr>
        <w:tabs>
          <w:tab w:val="left" w:pos="900"/>
        </w:tabs>
        <w:suppressAutoHyphens/>
        <w:autoSpaceDE w:val="0"/>
        <w:ind w:left="720" w:firstLine="0"/>
        <w:jc w:val="both"/>
        <w:rPr>
          <w:lang w:val="en-GB"/>
        </w:rPr>
      </w:pPr>
      <w:r w:rsidRPr="001F7985">
        <w:rPr>
          <w:lang w:val="en-GB"/>
        </w:rPr>
        <w:t>I</w:t>
      </w:r>
      <w:r w:rsidR="00F52A7B" w:rsidRPr="001F7985">
        <w:rPr>
          <w:lang w:val="en-GB"/>
        </w:rPr>
        <w:t>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F52A7B" w:rsidRPr="001F7985" w:rsidRDefault="00F52A7B" w:rsidP="008C1A0D">
      <w:pPr>
        <w:tabs>
          <w:tab w:val="left" w:pos="900"/>
        </w:tabs>
        <w:suppressAutoHyphens/>
        <w:autoSpaceDE w:val="0"/>
        <w:ind w:left="720"/>
        <w:jc w:val="both"/>
        <w:rPr>
          <w:lang w:val="en-GB"/>
        </w:rPr>
      </w:pPr>
    </w:p>
    <w:p w:rsidR="00F52A7B" w:rsidRPr="001F7985" w:rsidRDefault="00F52A7B" w:rsidP="009C4FE8">
      <w:pPr>
        <w:numPr>
          <w:ilvl w:val="0"/>
          <w:numId w:val="8"/>
        </w:numPr>
        <w:tabs>
          <w:tab w:val="left" w:pos="900"/>
        </w:tabs>
        <w:suppressAutoHyphens/>
        <w:autoSpaceDE w:val="0"/>
        <w:ind w:left="720" w:firstLine="0"/>
        <w:jc w:val="both"/>
        <w:rPr>
          <w:lang w:val="en-GB"/>
        </w:rPr>
      </w:pPr>
      <w:r w:rsidRPr="001F7985">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F52A7B" w:rsidRDefault="00F52A7B" w:rsidP="00F52A7B">
      <w:pPr>
        <w:pStyle w:val="Normal1"/>
        <w:spacing w:before="0" w:beforeAutospacing="0" w:after="0" w:afterAutospacing="0"/>
        <w:jc w:val="both"/>
        <w:rPr>
          <w:b/>
          <w:lang w:val="en-GB"/>
        </w:rPr>
      </w:pPr>
    </w:p>
    <w:p w:rsidR="00C813CD" w:rsidRDefault="00C813CD" w:rsidP="00F52A7B">
      <w:pPr>
        <w:pStyle w:val="Normal1"/>
        <w:spacing w:before="0" w:beforeAutospacing="0" w:after="0" w:afterAutospacing="0"/>
        <w:jc w:val="both"/>
        <w:rPr>
          <w:b/>
          <w:lang w:val="en-GB"/>
        </w:rPr>
      </w:pPr>
    </w:p>
    <w:p w:rsidR="001F3585" w:rsidRDefault="001F3585" w:rsidP="00F52A7B">
      <w:pPr>
        <w:pStyle w:val="Normal1"/>
        <w:spacing w:before="0" w:beforeAutospacing="0" w:after="0" w:afterAutospacing="0"/>
        <w:jc w:val="both"/>
        <w:rPr>
          <w:b/>
          <w:lang w:val="en-GB"/>
        </w:rPr>
      </w:pPr>
    </w:p>
    <w:p w:rsidR="00F52A7B" w:rsidRPr="001F7985" w:rsidRDefault="00F52A7B" w:rsidP="00F52A7B">
      <w:pPr>
        <w:pStyle w:val="Normal1"/>
        <w:spacing w:before="0" w:beforeAutospacing="0" w:after="0" w:afterAutospacing="0"/>
        <w:jc w:val="both"/>
        <w:rPr>
          <w:b/>
          <w:lang w:val="en-GB"/>
        </w:rPr>
      </w:pPr>
      <w:r w:rsidRPr="001F7985">
        <w:rPr>
          <w:b/>
          <w:lang w:val="en-GB"/>
        </w:rPr>
        <w:t>FOR THESE REASONS,</w:t>
      </w:r>
    </w:p>
    <w:p w:rsidR="00BF509D" w:rsidRDefault="00BF509D" w:rsidP="00F52A7B">
      <w:pPr>
        <w:pStyle w:val="Normal1"/>
        <w:spacing w:before="0" w:beforeAutospacing="0" w:after="0" w:afterAutospacing="0"/>
        <w:jc w:val="both"/>
        <w:rPr>
          <w:b/>
          <w:lang w:val="en-GB"/>
        </w:rPr>
      </w:pPr>
    </w:p>
    <w:p w:rsidR="00497C0C" w:rsidRPr="001F7985" w:rsidRDefault="00497C0C" w:rsidP="00F52A7B">
      <w:pPr>
        <w:pStyle w:val="Normal1"/>
        <w:spacing w:before="0" w:beforeAutospacing="0" w:after="0" w:afterAutospacing="0"/>
        <w:jc w:val="both"/>
        <w:rPr>
          <w:b/>
          <w:lang w:val="en-GB"/>
        </w:rPr>
      </w:pPr>
    </w:p>
    <w:p w:rsidR="00F52A7B" w:rsidRPr="001F7985" w:rsidRDefault="00F52A7B" w:rsidP="00F52A7B">
      <w:pPr>
        <w:autoSpaceDE w:val="0"/>
        <w:autoSpaceDN w:val="0"/>
        <w:adjustRightInd w:val="0"/>
        <w:jc w:val="both"/>
        <w:rPr>
          <w:lang w:val="en-GB"/>
        </w:rPr>
      </w:pPr>
      <w:r w:rsidRPr="001F7985">
        <w:rPr>
          <w:lang w:val="en-GB"/>
        </w:rPr>
        <w:t>The Panel, unanimously,</w:t>
      </w:r>
    </w:p>
    <w:p w:rsidR="00F52A7B" w:rsidRDefault="00F52A7B" w:rsidP="00F52A7B">
      <w:pPr>
        <w:autoSpaceDE w:val="0"/>
        <w:autoSpaceDN w:val="0"/>
        <w:adjustRightInd w:val="0"/>
        <w:jc w:val="both"/>
        <w:rPr>
          <w:lang w:val="en-GB"/>
        </w:rPr>
      </w:pPr>
      <w:r w:rsidRPr="001F7985">
        <w:rPr>
          <w:lang w:val="en-GB"/>
        </w:rPr>
        <w:t xml:space="preserve"> </w:t>
      </w:r>
    </w:p>
    <w:p w:rsidR="00F52A7B" w:rsidRPr="001F7985" w:rsidRDefault="00F52A7B" w:rsidP="00F52A7B">
      <w:pPr>
        <w:autoSpaceDE w:val="0"/>
        <w:autoSpaceDN w:val="0"/>
        <w:adjustRightInd w:val="0"/>
        <w:jc w:val="both"/>
        <w:rPr>
          <w:lang w:val="en-GB"/>
        </w:rPr>
      </w:pPr>
    </w:p>
    <w:p w:rsidR="00F52A7B" w:rsidRPr="001F7985" w:rsidRDefault="00F52A7B" w:rsidP="00F034CA">
      <w:pPr>
        <w:pStyle w:val="JuList"/>
        <w:numPr>
          <w:ilvl w:val="0"/>
          <w:numId w:val="5"/>
        </w:numPr>
        <w:tabs>
          <w:tab w:val="clear" w:pos="567"/>
          <w:tab w:val="num" w:pos="-142"/>
        </w:tabs>
        <w:ind w:left="284" w:hanging="284"/>
        <w:rPr>
          <w:b/>
        </w:rPr>
      </w:pPr>
      <w:r w:rsidRPr="001F7985">
        <w:rPr>
          <w:b/>
        </w:rPr>
        <w:t>FINDS THAT THERE HAS BEEN</w:t>
      </w:r>
      <w:r w:rsidR="001B155D" w:rsidRPr="001F7985">
        <w:rPr>
          <w:b/>
        </w:rPr>
        <w:t xml:space="preserve"> A VIOLATION OF THE PROCEDURAL </w:t>
      </w:r>
      <w:r w:rsidRPr="001F7985">
        <w:rPr>
          <w:b/>
        </w:rPr>
        <w:t>OBLIGATION UNDER ARTICLE 2</w:t>
      </w:r>
      <w:r w:rsidR="001B155D" w:rsidRPr="001F7985">
        <w:rPr>
          <w:b/>
        </w:rPr>
        <w:t xml:space="preserve"> OF THE EUROPEAN CONVENTION ON </w:t>
      </w:r>
      <w:r w:rsidRPr="001F7985">
        <w:rPr>
          <w:b/>
        </w:rPr>
        <w:t>HUMAN RIGHTS;</w:t>
      </w:r>
    </w:p>
    <w:p w:rsidR="00F52A7B" w:rsidRPr="001F7985" w:rsidRDefault="00F52A7B" w:rsidP="008C1A0D">
      <w:pPr>
        <w:pStyle w:val="JuList"/>
        <w:tabs>
          <w:tab w:val="num" w:pos="360"/>
        </w:tabs>
        <w:ind w:left="360" w:hanging="360"/>
        <w:rPr>
          <w:b/>
        </w:rPr>
      </w:pPr>
    </w:p>
    <w:p w:rsidR="00F52A7B" w:rsidRPr="001F7985" w:rsidRDefault="00F52A7B" w:rsidP="00F034CA">
      <w:pPr>
        <w:pStyle w:val="JuList"/>
        <w:numPr>
          <w:ilvl w:val="0"/>
          <w:numId w:val="5"/>
        </w:numPr>
        <w:tabs>
          <w:tab w:val="clear" w:pos="567"/>
          <w:tab w:val="num" w:pos="-142"/>
        </w:tabs>
        <w:ind w:left="284" w:hanging="284"/>
        <w:rPr>
          <w:b/>
        </w:rPr>
      </w:pPr>
      <w:r w:rsidRPr="00F034CA">
        <w:rPr>
          <w:b/>
        </w:rPr>
        <w:t>RECOMMENDS</w:t>
      </w:r>
      <w:r w:rsidRPr="001F7985">
        <w:rPr>
          <w:b/>
          <w:bCs/>
          <w:lang w:eastAsia="en-US"/>
        </w:rPr>
        <w:t xml:space="preserve"> THAT UNMIK:</w:t>
      </w:r>
    </w:p>
    <w:p w:rsidR="00F52A7B" w:rsidRPr="001F7985" w:rsidRDefault="00F52A7B" w:rsidP="008C1A0D">
      <w:pPr>
        <w:pStyle w:val="JuList"/>
        <w:tabs>
          <w:tab w:val="num" w:pos="540"/>
        </w:tabs>
        <w:ind w:left="270" w:firstLine="0"/>
        <w:rPr>
          <w:b/>
          <w:bCs/>
          <w:lang w:eastAsia="en-US"/>
        </w:rPr>
      </w:pPr>
    </w:p>
    <w:p w:rsidR="00AF00F9" w:rsidRPr="00547A80" w:rsidRDefault="00F52A7B" w:rsidP="003D5712">
      <w:pPr>
        <w:pStyle w:val="JuList"/>
        <w:numPr>
          <w:ilvl w:val="0"/>
          <w:numId w:val="6"/>
        </w:numPr>
        <w:tabs>
          <w:tab w:val="num" w:pos="720"/>
        </w:tabs>
        <w:ind w:left="720"/>
        <w:rPr>
          <w:b/>
          <w:bCs/>
          <w:lang w:eastAsia="en-US"/>
        </w:rPr>
      </w:pPr>
      <w:r w:rsidRPr="00547A80">
        <w:rPr>
          <w:b/>
          <w:bCs/>
          <w:lang w:eastAsia="en-US"/>
        </w:rPr>
        <w:t xml:space="preserve">URGES </w:t>
      </w:r>
      <w:r w:rsidR="00C3019E" w:rsidRPr="00547A80">
        <w:rPr>
          <w:b/>
          <w:bCs/>
          <w:lang w:eastAsia="en-US"/>
        </w:rPr>
        <w:t>THE</w:t>
      </w:r>
      <w:r w:rsidRPr="00547A80">
        <w:rPr>
          <w:b/>
          <w:bCs/>
          <w:lang w:eastAsia="en-US"/>
        </w:rPr>
        <w:t xml:space="preserve"> COMPETENT AUTHORITIES IN KOSOVO TO TAKE ALL POSSIBLE STEPS IN ORDER TO ENSURE THAT THE CRIMINAL INVESTIGATION INTO THE </w:t>
      </w:r>
      <w:r w:rsidR="00A71A89" w:rsidRPr="00547A80">
        <w:rPr>
          <w:b/>
          <w:bCs/>
          <w:lang w:eastAsia="en-US"/>
        </w:rPr>
        <w:t xml:space="preserve">ABDUCTION AND </w:t>
      </w:r>
      <w:r w:rsidR="008C1A0D" w:rsidRPr="00547A80">
        <w:rPr>
          <w:b/>
          <w:lang w:val="en-US"/>
        </w:rPr>
        <w:t>KILLING</w:t>
      </w:r>
      <w:r w:rsidR="00FA2E62" w:rsidRPr="00547A80">
        <w:rPr>
          <w:b/>
          <w:lang w:val="en-US"/>
        </w:rPr>
        <w:t xml:space="preserve"> OF </w:t>
      </w:r>
      <w:r w:rsidR="00564D34" w:rsidRPr="00547A80">
        <w:rPr>
          <w:b/>
          <w:lang w:val="en-US"/>
        </w:rPr>
        <w:t>MR</w:t>
      </w:r>
      <w:r w:rsidR="00D96D3D">
        <w:rPr>
          <w:b/>
          <w:lang w:val="en-US"/>
        </w:rPr>
        <w:t xml:space="preserve"> MLAƉAN MAVR</w:t>
      </w:r>
      <w:r w:rsidR="00A71A89" w:rsidRPr="00547A80">
        <w:rPr>
          <w:b/>
          <w:lang w:val="en-US"/>
        </w:rPr>
        <w:t>IĆ</w:t>
      </w:r>
      <w:r w:rsidR="004F622A" w:rsidRPr="00547A80">
        <w:rPr>
          <w:b/>
          <w:lang w:val="en-US"/>
        </w:rPr>
        <w:t xml:space="preserve"> </w:t>
      </w:r>
      <w:r w:rsidRPr="00547A80">
        <w:rPr>
          <w:b/>
          <w:bCs/>
          <w:lang w:eastAsia="en-US"/>
        </w:rPr>
        <w:t>IS CONTINUED IN COMPLIANCE WITH ARTICLE 2 OF THE ECHR AND THAT THE PERPETRATORS ARE BROUGHT TO JUSTICE;</w:t>
      </w:r>
    </w:p>
    <w:p w:rsidR="00EC5260" w:rsidRPr="00547A80" w:rsidRDefault="00EC5260" w:rsidP="00EC5260">
      <w:pPr>
        <w:pStyle w:val="JuList"/>
        <w:ind w:left="720" w:firstLine="0"/>
        <w:rPr>
          <w:b/>
          <w:bCs/>
          <w:lang w:eastAsia="en-US"/>
        </w:rPr>
      </w:pPr>
    </w:p>
    <w:p w:rsidR="00AF00F9" w:rsidRPr="00547A80" w:rsidRDefault="00AF00F9" w:rsidP="00AF00F9">
      <w:pPr>
        <w:pStyle w:val="JuList"/>
        <w:numPr>
          <w:ilvl w:val="0"/>
          <w:numId w:val="6"/>
        </w:numPr>
        <w:tabs>
          <w:tab w:val="num" w:pos="720"/>
        </w:tabs>
        <w:ind w:left="720"/>
        <w:rPr>
          <w:b/>
          <w:bCs/>
          <w:lang w:eastAsia="en-US"/>
        </w:rPr>
      </w:pPr>
      <w:r w:rsidRPr="00547A80">
        <w:rPr>
          <w:b/>
          <w:bCs/>
          <w:lang w:eastAsia="en-US"/>
        </w:rPr>
        <w:t xml:space="preserve">PUBLICLY ACKNOWLEDGES RESPONSIBILITY FOR ITS FAILURE TO CONDUCT AN EFFECTIVE </w:t>
      </w:r>
      <w:r w:rsidR="00E96B6B" w:rsidRPr="00547A80">
        <w:rPr>
          <w:b/>
          <w:bCs/>
          <w:lang w:eastAsia="en-US"/>
        </w:rPr>
        <w:t xml:space="preserve">INVESTIGATION INTO THE </w:t>
      </w:r>
      <w:r w:rsidR="00A71A89" w:rsidRPr="00547A80">
        <w:rPr>
          <w:b/>
          <w:bCs/>
          <w:lang w:eastAsia="en-US"/>
        </w:rPr>
        <w:t xml:space="preserve">ABDUCTION AND </w:t>
      </w:r>
      <w:r w:rsidR="00A71A89" w:rsidRPr="00547A80">
        <w:rPr>
          <w:b/>
          <w:lang w:val="en-US"/>
        </w:rPr>
        <w:t xml:space="preserve">KILLING OF MR </w:t>
      </w:r>
      <w:r w:rsidR="00D96D3D">
        <w:rPr>
          <w:b/>
          <w:lang w:val="en-US"/>
        </w:rPr>
        <w:t>MLAƉAN MAVR</w:t>
      </w:r>
      <w:r w:rsidR="00D96D3D" w:rsidRPr="00547A80">
        <w:rPr>
          <w:b/>
          <w:lang w:val="en-US"/>
        </w:rPr>
        <w:t xml:space="preserve">IĆ </w:t>
      </w:r>
      <w:r w:rsidRPr="00547A80">
        <w:rPr>
          <w:b/>
          <w:bCs/>
          <w:lang w:eastAsia="en-US"/>
        </w:rPr>
        <w:t xml:space="preserve">AND MAKES A PUBLIC APOLOGY TO THE COMPLAINANT; </w:t>
      </w:r>
    </w:p>
    <w:p w:rsidR="00F52A7B" w:rsidRPr="001F7985" w:rsidRDefault="00F52A7B" w:rsidP="008C1A0D">
      <w:pPr>
        <w:pStyle w:val="JuList"/>
        <w:tabs>
          <w:tab w:val="num" w:pos="900"/>
        </w:tabs>
        <w:ind w:left="900" w:firstLine="0"/>
        <w:rPr>
          <w:b/>
          <w:bCs/>
          <w:lang w:eastAsia="en-US"/>
        </w:rPr>
      </w:pPr>
    </w:p>
    <w:p w:rsidR="00F52A7B" w:rsidRPr="001F7985" w:rsidRDefault="00560510" w:rsidP="008C1A0D">
      <w:pPr>
        <w:pStyle w:val="JuList"/>
        <w:numPr>
          <w:ilvl w:val="0"/>
          <w:numId w:val="6"/>
        </w:numPr>
        <w:tabs>
          <w:tab w:val="num" w:pos="720"/>
        </w:tabs>
        <w:ind w:left="720"/>
        <w:rPr>
          <w:b/>
        </w:rPr>
      </w:pPr>
      <w:r w:rsidRPr="001F7985">
        <w:rPr>
          <w:b/>
          <w:bCs/>
          <w:caps/>
          <w:lang w:eastAsia="en-US"/>
        </w:rPr>
        <w:t xml:space="preserve">TAKES APPROPRIATE STEPS TOWARDS PAYMENT OF ADEQUATE </w:t>
      </w:r>
      <w:r w:rsidRPr="001F7985">
        <w:rPr>
          <w:b/>
          <w:bCs/>
          <w:lang w:eastAsia="en-US"/>
        </w:rPr>
        <w:t>COMPENSATION</w:t>
      </w:r>
      <w:r w:rsidRPr="001F7985">
        <w:rPr>
          <w:b/>
          <w:bCs/>
          <w:caps/>
          <w:lang w:eastAsia="en-US"/>
        </w:rPr>
        <w:t xml:space="preserve"> </w:t>
      </w:r>
      <w:r w:rsidR="00547A80">
        <w:rPr>
          <w:b/>
          <w:bCs/>
          <w:caps/>
          <w:lang w:eastAsia="en-US"/>
        </w:rPr>
        <w:t xml:space="preserve">to the complainant </w:t>
      </w:r>
      <w:r w:rsidRPr="001F7985">
        <w:rPr>
          <w:b/>
          <w:bCs/>
          <w:caps/>
          <w:lang w:eastAsia="en-US"/>
        </w:rPr>
        <w:t xml:space="preserve">FOR MORAL DAMAGE IN </w:t>
      </w:r>
      <w:r w:rsidRPr="001F7985">
        <w:rPr>
          <w:b/>
          <w:bCs/>
          <w:caps/>
          <w:lang w:eastAsia="en-US"/>
        </w:rPr>
        <w:lastRenderedPageBreak/>
        <w:t xml:space="preserve">RELATION TO THE FINDING OF VIOLATIONS OF ARTICLE 2 </w:t>
      </w:r>
      <w:r w:rsidR="00547A80">
        <w:rPr>
          <w:b/>
          <w:bCs/>
          <w:caps/>
          <w:lang w:eastAsia="en-US"/>
        </w:rPr>
        <w:t>of the echr</w:t>
      </w:r>
      <w:r w:rsidRPr="001F7985">
        <w:rPr>
          <w:b/>
        </w:rPr>
        <w:t>;</w:t>
      </w:r>
    </w:p>
    <w:p w:rsidR="00F52A7B" w:rsidRPr="001F7985" w:rsidRDefault="00F52A7B" w:rsidP="008C1A0D">
      <w:pPr>
        <w:pStyle w:val="JuList"/>
        <w:tabs>
          <w:tab w:val="num" w:pos="900"/>
        </w:tabs>
        <w:ind w:left="900" w:firstLine="0"/>
        <w:rPr>
          <w:b/>
          <w:bCs/>
          <w:lang w:eastAsia="en-US"/>
        </w:rPr>
      </w:pPr>
    </w:p>
    <w:p w:rsidR="00F52A7B" w:rsidRPr="001F7985" w:rsidRDefault="00F52A7B" w:rsidP="008C1A0D">
      <w:pPr>
        <w:pStyle w:val="JuList"/>
        <w:numPr>
          <w:ilvl w:val="0"/>
          <w:numId w:val="6"/>
        </w:numPr>
        <w:tabs>
          <w:tab w:val="num" w:pos="720"/>
        </w:tabs>
        <w:ind w:left="720"/>
        <w:rPr>
          <w:b/>
          <w:bCs/>
          <w:lang w:eastAsia="en-US"/>
        </w:rPr>
      </w:pPr>
      <w:r w:rsidRPr="001F7985">
        <w:rPr>
          <w:b/>
          <w:bCs/>
          <w:lang w:eastAsia="en-US"/>
        </w:rPr>
        <w:t>TAKES APPROPRIATE STEPS TOWARDS THE REALISATION OF A FULL AND COMPREHENSIVE REPARATION PROGRAMME;</w:t>
      </w:r>
    </w:p>
    <w:p w:rsidR="00F52A7B" w:rsidRPr="001F7985" w:rsidRDefault="00F52A7B" w:rsidP="008C1A0D">
      <w:pPr>
        <w:pStyle w:val="ListParagraph"/>
        <w:tabs>
          <w:tab w:val="num" w:pos="900"/>
        </w:tabs>
        <w:ind w:left="900"/>
        <w:rPr>
          <w:b/>
          <w:bCs/>
          <w:lang w:val="en-GB" w:eastAsia="en-US"/>
        </w:rPr>
      </w:pPr>
    </w:p>
    <w:p w:rsidR="00F52A7B" w:rsidRPr="001F7985" w:rsidRDefault="00F52A7B" w:rsidP="008C1A0D">
      <w:pPr>
        <w:pStyle w:val="JuList"/>
        <w:numPr>
          <w:ilvl w:val="0"/>
          <w:numId w:val="6"/>
        </w:numPr>
        <w:tabs>
          <w:tab w:val="num" w:pos="720"/>
        </w:tabs>
        <w:ind w:left="720"/>
        <w:rPr>
          <w:b/>
          <w:bCs/>
          <w:lang w:eastAsia="en-US"/>
        </w:rPr>
      </w:pPr>
      <w:r w:rsidRPr="001F7985">
        <w:rPr>
          <w:b/>
          <w:bCs/>
          <w:lang w:eastAsia="en-US"/>
        </w:rPr>
        <w:t>TAKES APPROPRIATE STEPS AT THE UNITED NATIONS AS A GUARANTEE OF NON REPETITION;</w:t>
      </w:r>
    </w:p>
    <w:p w:rsidR="0097400B" w:rsidRPr="001F7985" w:rsidRDefault="0097400B" w:rsidP="008C1A0D">
      <w:pPr>
        <w:pStyle w:val="JuList"/>
        <w:tabs>
          <w:tab w:val="num" w:pos="900"/>
        </w:tabs>
        <w:ind w:left="900" w:firstLine="0"/>
        <w:rPr>
          <w:b/>
          <w:bCs/>
          <w:lang w:eastAsia="en-US"/>
        </w:rPr>
      </w:pPr>
    </w:p>
    <w:p w:rsidR="00F52A7B" w:rsidRPr="001F7985" w:rsidRDefault="00F52A7B" w:rsidP="008C1A0D">
      <w:pPr>
        <w:pStyle w:val="JuList"/>
        <w:numPr>
          <w:ilvl w:val="0"/>
          <w:numId w:val="6"/>
        </w:numPr>
        <w:tabs>
          <w:tab w:val="num" w:pos="720"/>
        </w:tabs>
        <w:ind w:left="720"/>
        <w:rPr>
          <w:b/>
          <w:bCs/>
          <w:lang w:eastAsia="en-US"/>
        </w:rPr>
      </w:pPr>
      <w:r w:rsidRPr="001F7985">
        <w:rPr>
          <w:b/>
          <w:bCs/>
          <w:lang w:eastAsia="en-US"/>
        </w:rPr>
        <w:t>TAKES IMMEDIATE AND EFFECTIVE MEASURES TO IMPLEMENT THE RECOMMENDATIONS OF THE PANEL AND TO INFORM THE COMPLAINANT AND THE PANEL ABOUT FURTHER DEVELOPMENTS IN THIS CASE.</w:t>
      </w:r>
    </w:p>
    <w:p w:rsidR="00F52A7B" w:rsidRPr="001F7985" w:rsidRDefault="00F52A7B" w:rsidP="00F52A7B">
      <w:pPr>
        <w:autoSpaceDE w:val="0"/>
        <w:autoSpaceDN w:val="0"/>
        <w:adjustRightInd w:val="0"/>
        <w:jc w:val="both"/>
        <w:rPr>
          <w:b/>
          <w:bCs/>
          <w:lang w:val="en-GB"/>
        </w:rPr>
      </w:pPr>
    </w:p>
    <w:p w:rsidR="00BF509D" w:rsidRDefault="00BF509D" w:rsidP="00F52A7B">
      <w:pPr>
        <w:autoSpaceDE w:val="0"/>
        <w:autoSpaceDN w:val="0"/>
        <w:adjustRightInd w:val="0"/>
        <w:jc w:val="both"/>
        <w:rPr>
          <w:b/>
          <w:bCs/>
          <w:lang w:val="en-GB"/>
        </w:rPr>
      </w:pPr>
    </w:p>
    <w:p w:rsidR="00CD5F25" w:rsidRDefault="00CD5F25" w:rsidP="00F52A7B">
      <w:pPr>
        <w:autoSpaceDE w:val="0"/>
        <w:autoSpaceDN w:val="0"/>
        <w:adjustRightInd w:val="0"/>
        <w:jc w:val="both"/>
        <w:rPr>
          <w:b/>
          <w:bCs/>
          <w:lang w:val="en-GB"/>
        </w:rPr>
      </w:pPr>
    </w:p>
    <w:p w:rsidR="00CD5F25" w:rsidRDefault="00CD5F25" w:rsidP="00F52A7B">
      <w:pPr>
        <w:autoSpaceDE w:val="0"/>
        <w:autoSpaceDN w:val="0"/>
        <w:adjustRightInd w:val="0"/>
        <w:jc w:val="both"/>
        <w:rPr>
          <w:b/>
          <w:bCs/>
          <w:lang w:val="en-GB"/>
        </w:rPr>
      </w:pPr>
    </w:p>
    <w:p w:rsidR="00366207" w:rsidRDefault="00366207" w:rsidP="00F52A7B">
      <w:pPr>
        <w:autoSpaceDE w:val="0"/>
        <w:autoSpaceDN w:val="0"/>
        <w:adjustRightInd w:val="0"/>
        <w:jc w:val="both"/>
        <w:rPr>
          <w:b/>
          <w:bCs/>
          <w:lang w:val="en-GB"/>
        </w:rPr>
      </w:pPr>
    </w:p>
    <w:p w:rsidR="00F52A7B" w:rsidRPr="001F7985" w:rsidRDefault="00F52A7B" w:rsidP="00F52A7B">
      <w:pPr>
        <w:autoSpaceDE w:val="0"/>
        <w:autoSpaceDN w:val="0"/>
        <w:adjustRightInd w:val="0"/>
        <w:jc w:val="both"/>
        <w:rPr>
          <w:lang w:val="en-GB"/>
        </w:rPr>
      </w:pPr>
    </w:p>
    <w:p w:rsidR="003A78E3" w:rsidRDefault="00D87FFC" w:rsidP="009F0DB6">
      <w:pPr>
        <w:autoSpaceDE w:val="0"/>
        <w:autoSpaceDN w:val="0"/>
        <w:adjustRightInd w:val="0"/>
        <w:jc w:val="both"/>
        <w:rPr>
          <w:lang w:val="en-GB"/>
        </w:rPr>
      </w:pPr>
      <w:r>
        <w:rPr>
          <w:lang w:val="en-GB"/>
        </w:rPr>
        <w:t>Andrey Antonov</w:t>
      </w:r>
      <w:r w:rsidR="003A78E3">
        <w:rPr>
          <w:lang w:val="en-GB"/>
        </w:rPr>
        <w:tab/>
      </w:r>
      <w:r w:rsidR="00F52A7B" w:rsidRPr="001F7985">
        <w:rPr>
          <w:lang w:val="en-GB"/>
        </w:rPr>
        <w:tab/>
      </w:r>
      <w:r w:rsidR="00F52A7B" w:rsidRPr="001F7985">
        <w:rPr>
          <w:lang w:val="en-GB"/>
        </w:rPr>
        <w:tab/>
      </w:r>
      <w:r w:rsidR="001E0730" w:rsidRPr="001F7985">
        <w:rPr>
          <w:lang w:val="en-GB"/>
        </w:rPr>
        <w:tab/>
      </w:r>
      <w:r w:rsidR="001E0730" w:rsidRPr="001F7985">
        <w:rPr>
          <w:lang w:val="en-GB"/>
        </w:rPr>
        <w:tab/>
      </w:r>
      <w:r w:rsidR="001E0730" w:rsidRPr="001F7985">
        <w:rPr>
          <w:lang w:val="en-GB"/>
        </w:rPr>
        <w:tab/>
      </w:r>
      <w:r w:rsidR="001E0730" w:rsidRPr="001F7985">
        <w:rPr>
          <w:lang w:val="en-GB"/>
        </w:rPr>
        <w:tab/>
      </w:r>
      <w:r w:rsidR="001E0730" w:rsidRPr="001F7985">
        <w:rPr>
          <w:lang w:val="en-GB"/>
        </w:rPr>
        <w:tab/>
      </w:r>
      <w:r w:rsidR="00EC5260">
        <w:rPr>
          <w:lang w:val="en-GB"/>
        </w:rPr>
        <w:t>Marek Nowicki</w:t>
      </w:r>
    </w:p>
    <w:p w:rsidR="009B768B" w:rsidRPr="001F7985" w:rsidRDefault="00F52A7B" w:rsidP="006A620F">
      <w:pPr>
        <w:autoSpaceDE w:val="0"/>
        <w:autoSpaceDN w:val="0"/>
        <w:adjustRightInd w:val="0"/>
        <w:jc w:val="both"/>
        <w:rPr>
          <w:lang w:val="en-GB"/>
        </w:rPr>
      </w:pPr>
      <w:r w:rsidRPr="001F7985">
        <w:rPr>
          <w:lang w:val="en-GB"/>
        </w:rPr>
        <w:t>Executive Officer</w:t>
      </w:r>
      <w:r w:rsidR="00F95D8C" w:rsidRPr="001F7985">
        <w:rPr>
          <w:lang w:val="en-GB"/>
        </w:rPr>
        <w:t xml:space="preserve"> </w:t>
      </w:r>
      <w:r w:rsidR="00F95D8C" w:rsidRPr="001F7985">
        <w:rPr>
          <w:lang w:val="en-GB"/>
        </w:rPr>
        <w:tab/>
      </w:r>
      <w:r w:rsidR="00F95D8C" w:rsidRPr="001F7985">
        <w:rPr>
          <w:lang w:val="en-GB"/>
        </w:rPr>
        <w:tab/>
      </w:r>
      <w:r w:rsidR="00F95D8C" w:rsidRPr="001F7985">
        <w:rPr>
          <w:lang w:val="en-GB"/>
        </w:rPr>
        <w:tab/>
      </w:r>
      <w:r w:rsidR="00F95D8C" w:rsidRPr="001F7985">
        <w:rPr>
          <w:lang w:val="en-GB"/>
        </w:rPr>
        <w:tab/>
      </w:r>
      <w:r w:rsidR="00F95D8C" w:rsidRPr="001F7985">
        <w:rPr>
          <w:lang w:val="en-GB"/>
        </w:rPr>
        <w:tab/>
        <w:t xml:space="preserve"> </w:t>
      </w:r>
      <w:r w:rsidR="00AE399C" w:rsidRPr="001F7985">
        <w:rPr>
          <w:lang w:val="en-GB"/>
        </w:rPr>
        <w:tab/>
      </w:r>
      <w:r w:rsidR="003A78E3">
        <w:rPr>
          <w:lang w:val="en-GB"/>
        </w:rPr>
        <w:t xml:space="preserve">          </w:t>
      </w:r>
      <w:r w:rsidR="00D87FFC">
        <w:rPr>
          <w:lang w:val="en-GB"/>
        </w:rPr>
        <w:t xml:space="preserve">            </w:t>
      </w:r>
      <w:r w:rsidRPr="001F7985">
        <w:rPr>
          <w:lang w:val="en-GB"/>
        </w:rPr>
        <w:t>Presiding Member</w:t>
      </w:r>
    </w:p>
    <w:p w:rsidR="006A620F" w:rsidRDefault="006A620F">
      <w:pPr>
        <w:rPr>
          <w:i/>
          <w:lang w:val="en-GB"/>
        </w:rPr>
      </w:pPr>
      <w:r>
        <w:rPr>
          <w:i/>
          <w:lang w:val="en-GB"/>
        </w:rPr>
        <w:br w:type="page"/>
      </w:r>
    </w:p>
    <w:p w:rsidR="008F03DC" w:rsidRPr="001F7985" w:rsidRDefault="008F03DC" w:rsidP="008F03DC">
      <w:pPr>
        <w:jc w:val="right"/>
        <w:rPr>
          <w:i/>
          <w:lang w:val="en-GB"/>
        </w:rPr>
      </w:pPr>
      <w:r w:rsidRPr="001F7985">
        <w:rPr>
          <w:i/>
          <w:lang w:val="en-GB"/>
        </w:rPr>
        <w:lastRenderedPageBreak/>
        <w:t>Annex</w:t>
      </w:r>
    </w:p>
    <w:p w:rsidR="004F71FD" w:rsidRPr="001F7985" w:rsidRDefault="004F71FD" w:rsidP="004C104C">
      <w:pPr>
        <w:jc w:val="center"/>
        <w:rPr>
          <w:b/>
          <w:lang w:val="en-GB"/>
        </w:rPr>
      </w:pPr>
    </w:p>
    <w:p w:rsidR="00F52A7B" w:rsidRPr="001F7985" w:rsidRDefault="00F52A7B" w:rsidP="004C104C">
      <w:pPr>
        <w:jc w:val="center"/>
        <w:rPr>
          <w:lang w:val="en-GB"/>
        </w:rPr>
      </w:pPr>
      <w:r w:rsidRPr="001F7985">
        <w:rPr>
          <w:b/>
          <w:lang w:val="en-GB"/>
        </w:rPr>
        <w:t>ABBREVIATIONS AND ACRONYMS</w:t>
      </w:r>
    </w:p>
    <w:p w:rsidR="00F52A7B" w:rsidRPr="001F7985" w:rsidRDefault="00F52A7B" w:rsidP="00F52A7B">
      <w:pPr>
        <w:autoSpaceDE w:val="0"/>
        <w:jc w:val="both"/>
        <w:rPr>
          <w:lang w:val="en-GB"/>
        </w:rPr>
      </w:pPr>
    </w:p>
    <w:p w:rsidR="00F52A7B" w:rsidRPr="001F7985" w:rsidRDefault="00F52A7B" w:rsidP="00F52A7B">
      <w:pPr>
        <w:autoSpaceDE w:val="0"/>
        <w:jc w:val="both"/>
        <w:rPr>
          <w:lang w:val="en-GB"/>
        </w:rPr>
      </w:pPr>
      <w:r w:rsidRPr="001F7985">
        <w:rPr>
          <w:b/>
          <w:lang w:val="en-GB"/>
        </w:rPr>
        <w:t xml:space="preserve">CCIU </w:t>
      </w:r>
      <w:r w:rsidRPr="001F7985">
        <w:rPr>
          <w:lang w:val="en-GB"/>
        </w:rPr>
        <w:t>- Central Criminal Investigation Unit</w:t>
      </w:r>
    </w:p>
    <w:p w:rsidR="00F52A7B" w:rsidRPr="001F7985" w:rsidRDefault="00F52A7B" w:rsidP="00F52A7B">
      <w:pPr>
        <w:autoSpaceDE w:val="0"/>
        <w:jc w:val="both"/>
        <w:rPr>
          <w:lang w:val="en-GB"/>
        </w:rPr>
      </w:pPr>
      <w:r w:rsidRPr="001F7985">
        <w:rPr>
          <w:b/>
          <w:lang w:val="en-GB"/>
        </w:rPr>
        <w:t xml:space="preserve">CCPR – </w:t>
      </w:r>
      <w:r w:rsidRPr="001F7985">
        <w:rPr>
          <w:lang w:val="en-GB"/>
        </w:rPr>
        <w:t>International Covenant on Civil and Political Rights</w:t>
      </w:r>
    </w:p>
    <w:p w:rsidR="00F52A7B" w:rsidRPr="001F7985" w:rsidRDefault="00F52A7B" w:rsidP="00F52A7B">
      <w:pPr>
        <w:autoSpaceDE w:val="0"/>
        <w:jc w:val="both"/>
        <w:rPr>
          <w:lang w:val="en-GB"/>
        </w:rPr>
      </w:pPr>
      <w:r w:rsidRPr="001F7985">
        <w:rPr>
          <w:b/>
          <w:lang w:val="en-GB"/>
        </w:rPr>
        <w:t xml:space="preserve">DOJ </w:t>
      </w:r>
      <w:r w:rsidRPr="001F7985">
        <w:rPr>
          <w:lang w:val="en-GB"/>
        </w:rPr>
        <w:t>- Department of Justice</w:t>
      </w:r>
    </w:p>
    <w:p w:rsidR="00F52A7B" w:rsidRPr="001F7985" w:rsidRDefault="00F52A7B" w:rsidP="00F52A7B">
      <w:pPr>
        <w:autoSpaceDE w:val="0"/>
        <w:jc w:val="both"/>
        <w:rPr>
          <w:lang w:val="en-GB"/>
        </w:rPr>
      </w:pPr>
      <w:r w:rsidRPr="001F7985">
        <w:rPr>
          <w:b/>
          <w:lang w:val="en-GB"/>
        </w:rPr>
        <w:t>DPPO</w:t>
      </w:r>
      <w:r w:rsidRPr="001F7985">
        <w:rPr>
          <w:lang w:val="en-GB"/>
        </w:rPr>
        <w:t xml:space="preserve"> - District Public Prosecutor’s Office</w:t>
      </w:r>
    </w:p>
    <w:p w:rsidR="00F52A7B" w:rsidRPr="001F7985" w:rsidRDefault="00F52A7B" w:rsidP="00F52A7B">
      <w:pPr>
        <w:autoSpaceDE w:val="0"/>
        <w:jc w:val="both"/>
        <w:rPr>
          <w:lang w:val="en-GB"/>
        </w:rPr>
      </w:pPr>
      <w:r w:rsidRPr="001F7985">
        <w:rPr>
          <w:b/>
          <w:lang w:val="en-GB"/>
        </w:rPr>
        <w:t>ECHR</w:t>
      </w:r>
      <w:r w:rsidRPr="001F7985">
        <w:rPr>
          <w:lang w:val="en-GB"/>
        </w:rPr>
        <w:t xml:space="preserve"> - European Convention on Human Rights</w:t>
      </w:r>
    </w:p>
    <w:p w:rsidR="00F52A7B" w:rsidRPr="001F7985" w:rsidRDefault="00F52A7B" w:rsidP="00F52A7B">
      <w:pPr>
        <w:autoSpaceDE w:val="0"/>
        <w:jc w:val="both"/>
        <w:rPr>
          <w:lang w:val="en-GB"/>
        </w:rPr>
      </w:pPr>
      <w:r w:rsidRPr="001F7985">
        <w:rPr>
          <w:b/>
          <w:lang w:val="en-GB"/>
        </w:rPr>
        <w:t xml:space="preserve">ECtHR </w:t>
      </w:r>
      <w:r w:rsidRPr="001F7985">
        <w:rPr>
          <w:lang w:val="en-GB"/>
        </w:rPr>
        <w:t xml:space="preserve">- European Court of Human Rights </w:t>
      </w:r>
    </w:p>
    <w:p w:rsidR="00F52A7B" w:rsidRPr="001F7985" w:rsidRDefault="00F52A7B" w:rsidP="00F52A7B">
      <w:pPr>
        <w:autoSpaceDE w:val="0"/>
        <w:jc w:val="both"/>
        <w:rPr>
          <w:lang w:val="en-GB"/>
        </w:rPr>
      </w:pPr>
      <w:r w:rsidRPr="001F7985">
        <w:rPr>
          <w:b/>
          <w:lang w:val="en-GB"/>
        </w:rPr>
        <w:t>EU</w:t>
      </w:r>
      <w:r w:rsidRPr="001F7985">
        <w:rPr>
          <w:lang w:val="en-GB"/>
        </w:rPr>
        <w:t xml:space="preserve"> – European Union</w:t>
      </w:r>
    </w:p>
    <w:p w:rsidR="00F52A7B" w:rsidRPr="001F7985" w:rsidRDefault="00F52A7B" w:rsidP="00F52A7B">
      <w:pPr>
        <w:autoSpaceDE w:val="0"/>
        <w:jc w:val="both"/>
        <w:rPr>
          <w:lang w:val="en-GB"/>
        </w:rPr>
      </w:pPr>
      <w:r w:rsidRPr="001F7985">
        <w:rPr>
          <w:b/>
          <w:lang w:val="en-GB"/>
        </w:rPr>
        <w:t>EULEX</w:t>
      </w:r>
      <w:r w:rsidRPr="001F7985">
        <w:rPr>
          <w:lang w:val="en-GB"/>
        </w:rPr>
        <w:t xml:space="preserve"> - European Union Rule of Law Mission in Kosovo</w:t>
      </w:r>
    </w:p>
    <w:p w:rsidR="00F52A7B" w:rsidRPr="001F7985" w:rsidRDefault="00F52A7B" w:rsidP="00F52A7B">
      <w:pPr>
        <w:autoSpaceDE w:val="0"/>
        <w:jc w:val="both"/>
        <w:rPr>
          <w:lang w:val="en-GB"/>
        </w:rPr>
      </w:pPr>
      <w:r w:rsidRPr="001F7985">
        <w:rPr>
          <w:b/>
          <w:lang w:val="en-GB"/>
        </w:rPr>
        <w:t xml:space="preserve">FRY </w:t>
      </w:r>
      <w:r w:rsidRPr="001F7985">
        <w:rPr>
          <w:lang w:val="en-GB"/>
        </w:rPr>
        <w:t>-</w:t>
      </w:r>
      <w:r w:rsidR="00D47E53" w:rsidRPr="001F7985">
        <w:rPr>
          <w:lang w:val="en-GB"/>
        </w:rPr>
        <w:t xml:space="preserve"> Federal Republic of Yugoslavia</w:t>
      </w:r>
    </w:p>
    <w:p w:rsidR="00D47E53" w:rsidRPr="001F7985" w:rsidRDefault="00D47E53" w:rsidP="00F52A7B">
      <w:pPr>
        <w:autoSpaceDE w:val="0"/>
        <w:jc w:val="both"/>
        <w:rPr>
          <w:lang w:val="en-GB"/>
        </w:rPr>
      </w:pPr>
      <w:r w:rsidRPr="001F7985">
        <w:rPr>
          <w:b/>
          <w:lang w:val="en-GB"/>
        </w:rPr>
        <w:t>FYROM</w:t>
      </w:r>
      <w:r w:rsidRPr="001F7985">
        <w:rPr>
          <w:lang w:val="en-GB"/>
        </w:rPr>
        <w:t xml:space="preserve"> - Former Yugoslav Republic of Macedonia</w:t>
      </w:r>
    </w:p>
    <w:p w:rsidR="00F52A7B" w:rsidRPr="001F7985" w:rsidRDefault="00F52A7B" w:rsidP="00F52A7B">
      <w:pPr>
        <w:autoSpaceDE w:val="0"/>
        <w:jc w:val="both"/>
        <w:rPr>
          <w:lang w:val="en-GB"/>
        </w:rPr>
      </w:pPr>
      <w:r w:rsidRPr="001F7985">
        <w:rPr>
          <w:b/>
          <w:lang w:val="en-GB"/>
        </w:rPr>
        <w:t xml:space="preserve">HRAP </w:t>
      </w:r>
      <w:r w:rsidRPr="001F7985">
        <w:rPr>
          <w:lang w:val="en-GB"/>
        </w:rPr>
        <w:t>- Human Rights Advisory Panel</w:t>
      </w:r>
    </w:p>
    <w:p w:rsidR="00F52A7B" w:rsidRPr="001F7985" w:rsidRDefault="00F52A7B" w:rsidP="00F52A7B">
      <w:pPr>
        <w:autoSpaceDE w:val="0"/>
        <w:jc w:val="both"/>
        <w:rPr>
          <w:lang w:val="en-GB"/>
        </w:rPr>
      </w:pPr>
      <w:r w:rsidRPr="001F7985">
        <w:rPr>
          <w:b/>
          <w:lang w:val="en-GB"/>
        </w:rPr>
        <w:t>HRC</w:t>
      </w:r>
      <w:r w:rsidR="009E5B51" w:rsidRPr="001F7985">
        <w:rPr>
          <w:lang w:val="en-GB"/>
        </w:rPr>
        <w:t xml:space="preserve"> -</w:t>
      </w:r>
      <w:r w:rsidRPr="001F7985">
        <w:rPr>
          <w:lang w:val="en-GB"/>
        </w:rPr>
        <w:t xml:space="preserve"> United Nation Human Rights Committee</w:t>
      </w:r>
    </w:p>
    <w:p w:rsidR="00316A34" w:rsidRPr="001F7985" w:rsidRDefault="00316A34" w:rsidP="00F52A7B">
      <w:pPr>
        <w:autoSpaceDE w:val="0"/>
        <w:jc w:val="both"/>
        <w:rPr>
          <w:lang w:val="en-GB"/>
        </w:rPr>
      </w:pPr>
      <w:r w:rsidRPr="001F7985">
        <w:rPr>
          <w:b/>
          <w:lang w:val="en-GB"/>
        </w:rPr>
        <w:t xml:space="preserve">HQ </w:t>
      </w:r>
      <w:r w:rsidRPr="001F7985">
        <w:rPr>
          <w:lang w:val="en-GB"/>
        </w:rPr>
        <w:t>- Headquarters</w:t>
      </w:r>
    </w:p>
    <w:p w:rsidR="00F52A7B" w:rsidRPr="001F7985" w:rsidRDefault="00F52A7B" w:rsidP="00F52A7B">
      <w:pPr>
        <w:autoSpaceDE w:val="0"/>
        <w:jc w:val="both"/>
        <w:rPr>
          <w:lang w:val="en-GB"/>
        </w:rPr>
      </w:pPr>
      <w:r w:rsidRPr="001F7985">
        <w:rPr>
          <w:b/>
          <w:lang w:val="en-GB"/>
        </w:rPr>
        <w:t xml:space="preserve">IACtHR </w:t>
      </w:r>
      <w:r w:rsidRPr="001F7985">
        <w:rPr>
          <w:lang w:val="en-GB"/>
        </w:rPr>
        <w:t>– Inter-American Court of Human Rights</w:t>
      </w:r>
    </w:p>
    <w:p w:rsidR="00F52A7B" w:rsidRPr="001F7985" w:rsidRDefault="00F52A7B" w:rsidP="00F52A7B">
      <w:pPr>
        <w:autoSpaceDE w:val="0"/>
        <w:jc w:val="both"/>
        <w:rPr>
          <w:lang w:val="en-GB"/>
        </w:rPr>
      </w:pPr>
      <w:r w:rsidRPr="001F7985">
        <w:rPr>
          <w:b/>
          <w:lang w:val="en-GB"/>
        </w:rPr>
        <w:t>ICMP</w:t>
      </w:r>
      <w:r w:rsidRPr="001F7985">
        <w:rPr>
          <w:lang w:val="en-GB"/>
        </w:rPr>
        <w:t xml:space="preserve"> - International Commission of Missing Persons</w:t>
      </w:r>
    </w:p>
    <w:p w:rsidR="00F52A7B" w:rsidRPr="001F7985" w:rsidRDefault="00F52A7B" w:rsidP="00F52A7B">
      <w:pPr>
        <w:autoSpaceDE w:val="0"/>
        <w:jc w:val="both"/>
        <w:rPr>
          <w:lang w:val="en-GB"/>
        </w:rPr>
      </w:pPr>
      <w:r w:rsidRPr="001F7985">
        <w:rPr>
          <w:b/>
          <w:lang w:val="en-GB"/>
        </w:rPr>
        <w:t>ICRC</w:t>
      </w:r>
      <w:r w:rsidRPr="001F7985">
        <w:rPr>
          <w:lang w:val="en-GB"/>
        </w:rPr>
        <w:t xml:space="preserve"> - International Committee of the Red Cross</w:t>
      </w:r>
    </w:p>
    <w:p w:rsidR="00F52A7B" w:rsidRDefault="00F52A7B" w:rsidP="00F52A7B">
      <w:pPr>
        <w:autoSpaceDE w:val="0"/>
        <w:jc w:val="both"/>
        <w:rPr>
          <w:lang w:val="en-GB"/>
        </w:rPr>
      </w:pPr>
      <w:r w:rsidRPr="001F7985">
        <w:rPr>
          <w:b/>
          <w:lang w:val="en-GB"/>
        </w:rPr>
        <w:t xml:space="preserve">ICTY </w:t>
      </w:r>
      <w:r w:rsidRPr="001F7985">
        <w:rPr>
          <w:lang w:val="en-GB"/>
        </w:rPr>
        <w:t>- International Criminal Tribunal for former Yugoslavia</w:t>
      </w:r>
    </w:p>
    <w:p w:rsidR="00F52A7B" w:rsidRPr="001F7985" w:rsidRDefault="00F52A7B" w:rsidP="00F52A7B">
      <w:pPr>
        <w:autoSpaceDE w:val="0"/>
        <w:jc w:val="both"/>
        <w:rPr>
          <w:lang w:val="en-GB"/>
        </w:rPr>
      </w:pPr>
      <w:r w:rsidRPr="001F7985">
        <w:rPr>
          <w:b/>
          <w:lang w:val="en-GB"/>
        </w:rPr>
        <w:t>KFOR</w:t>
      </w:r>
      <w:r w:rsidRPr="001F7985">
        <w:rPr>
          <w:lang w:val="en-GB"/>
        </w:rPr>
        <w:t xml:space="preserve"> - International Security Force (commonly known as Kosovo Force)</w:t>
      </w:r>
    </w:p>
    <w:p w:rsidR="00F52A7B" w:rsidRPr="001F7985" w:rsidRDefault="00F52A7B" w:rsidP="00F52A7B">
      <w:pPr>
        <w:autoSpaceDE w:val="0"/>
        <w:jc w:val="both"/>
        <w:rPr>
          <w:lang w:val="en-GB"/>
        </w:rPr>
      </w:pPr>
      <w:r w:rsidRPr="001F7985">
        <w:rPr>
          <w:b/>
          <w:lang w:val="en-GB"/>
        </w:rPr>
        <w:t>KLA</w:t>
      </w:r>
      <w:r w:rsidRPr="001F7985">
        <w:rPr>
          <w:lang w:val="en-GB"/>
        </w:rPr>
        <w:t xml:space="preserve"> - Kosovo Liberation Army</w:t>
      </w:r>
    </w:p>
    <w:p w:rsidR="00F52A7B" w:rsidRDefault="00F52A7B" w:rsidP="00F52A7B">
      <w:pPr>
        <w:autoSpaceDE w:val="0"/>
        <w:jc w:val="both"/>
        <w:rPr>
          <w:lang w:val="en-GB"/>
        </w:rPr>
      </w:pPr>
      <w:r w:rsidRPr="001F7985">
        <w:rPr>
          <w:b/>
          <w:lang w:val="en-GB"/>
        </w:rPr>
        <w:t xml:space="preserve">MPU </w:t>
      </w:r>
      <w:r w:rsidRPr="001F7985">
        <w:rPr>
          <w:lang w:val="en-GB"/>
        </w:rPr>
        <w:t>- Missing Persons Unit</w:t>
      </w:r>
    </w:p>
    <w:p w:rsidR="00F52A7B" w:rsidRPr="001F7985" w:rsidRDefault="00F52A7B" w:rsidP="00F52A7B">
      <w:pPr>
        <w:autoSpaceDE w:val="0"/>
        <w:jc w:val="both"/>
        <w:rPr>
          <w:lang w:val="en-GB"/>
        </w:rPr>
      </w:pPr>
      <w:r w:rsidRPr="001F7985">
        <w:rPr>
          <w:b/>
          <w:lang w:val="en-GB"/>
        </w:rPr>
        <w:t>NATO</w:t>
      </w:r>
      <w:r w:rsidRPr="001F7985">
        <w:rPr>
          <w:lang w:val="en-GB"/>
        </w:rPr>
        <w:t xml:space="preserve"> - North Atlantic Treaty Organization </w:t>
      </w:r>
    </w:p>
    <w:p w:rsidR="00F52A7B" w:rsidRPr="001F7985" w:rsidRDefault="00F52A7B" w:rsidP="00F52A7B">
      <w:pPr>
        <w:autoSpaceDE w:val="0"/>
        <w:jc w:val="both"/>
        <w:rPr>
          <w:lang w:val="en-GB"/>
        </w:rPr>
      </w:pPr>
      <w:r w:rsidRPr="001F7985">
        <w:rPr>
          <w:b/>
          <w:lang w:val="en-GB"/>
        </w:rPr>
        <w:t>OMPF</w:t>
      </w:r>
      <w:r w:rsidRPr="001F7985">
        <w:rPr>
          <w:lang w:val="en-GB"/>
        </w:rPr>
        <w:t xml:space="preserve"> - Office on Missing Persons and Forensics</w:t>
      </w:r>
    </w:p>
    <w:p w:rsidR="00F52A7B" w:rsidRPr="001F7985" w:rsidRDefault="00F52A7B" w:rsidP="00F52A7B">
      <w:pPr>
        <w:autoSpaceDE w:val="0"/>
        <w:jc w:val="both"/>
        <w:rPr>
          <w:lang w:val="en-GB"/>
        </w:rPr>
      </w:pPr>
      <w:r w:rsidRPr="001F7985">
        <w:rPr>
          <w:b/>
          <w:lang w:val="en-GB"/>
        </w:rPr>
        <w:t>OSCE</w:t>
      </w:r>
      <w:r w:rsidRPr="001F7985">
        <w:rPr>
          <w:lang w:val="en-GB"/>
        </w:rPr>
        <w:t xml:space="preserve"> - Organization for Security and Cooperation in Europe</w:t>
      </w:r>
    </w:p>
    <w:p w:rsidR="00F52A7B" w:rsidRPr="001F7985" w:rsidRDefault="00F52A7B" w:rsidP="00F52A7B">
      <w:pPr>
        <w:autoSpaceDE w:val="0"/>
        <w:jc w:val="both"/>
        <w:rPr>
          <w:lang w:val="en-GB"/>
        </w:rPr>
      </w:pPr>
      <w:r w:rsidRPr="001F7985">
        <w:rPr>
          <w:b/>
          <w:lang w:val="en-GB"/>
        </w:rPr>
        <w:t>SRSG</w:t>
      </w:r>
      <w:r w:rsidRPr="001F7985">
        <w:rPr>
          <w:lang w:val="en-GB"/>
        </w:rPr>
        <w:t xml:space="preserve"> - Special Representative of the Secretary-General </w:t>
      </w:r>
    </w:p>
    <w:p w:rsidR="00F52A7B" w:rsidRPr="001F7985" w:rsidRDefault="00F52A7B" w:rsidP="00F52A7B">
      <w:pPr>
        <w:autoSpaceDE w:val="0"/>
        <w:jc w:val="both"/>
        <w:rPr>
          <w:lang w:val="en-GB"/>
        </w:rPr>
      </w:pPr>
      <w:r w:rsidRPr="001F7985">
        <w:rPr>
          <w:b/>
          <w:lang w:val="en-GB"/>
        </w:rPr>
        <w:t>UN</w:t>
      </w:r>
      <w:r w:rsidRPr="001F7985">
        <w:rPr>
          <w:lang w:val="en-GB"/>
        </w:rPr>
        <w:t xml:space="preserve"> - United Nations</w:t>
      </w:r>
    </w:p>
    <w:p w:rsidR="00F52A7B" w:rsidRPr="001F7985" w:rsidRDefault="00F52A7B" w:rsidP="00F52A7B">
      <w:pPr>
        <w:autoSpaceDE w:val="0"/>
        <w:jc w:val="both"/>
        <w:rPr>
          <w:lang w:val="en-GB"/>
        </w:rPr>
      </w:pPr>
      <w:r w:rsidRPr="001F7985">
        <w:rPr>
          <w:b/>
          <w:lang w:val="en-GB"/>
        </w:rPr>
        <w:t xml:space="preserve">UNHCR </w:t>
      </w:r>
      <w:r w:rsidRPr="001F7985">
        <w:rPr>
          <w:lang w:val="en-GB"/>
        </w:rPr>
        <w:t>- United Nations High Commissioner for Refugees</w:t>
      </w:r>
    </w:p>
    <w:p w:rsidR="00F52A7B" w:rsidRPr="001F7985" w:rsidRDefault="00F52A7B" w:rsidP="00F52A7B">
      <w:pPr>
        <w:autoSpaceDE w:val="0"/>
        <w:jc w:val="both"/>
        <w:rPr>
          <w:lang w:val="en-GB"/>
        </w:rPr>
      </w:pPr>
      <w:r w:rsidRPr="001F7985">
        <w:rPr>
          <w:b/>
          <w:lang w:val="en-GB"/>
        </w:rPr>
        <w:t>UNMIK</w:t>
      </w:r>
      <w:r w:rsidRPr="001F7985">
        <w:rPr>
          <w:lang w:val="en-GB"/>
        </w:rPr>
        <w:t xml:space="preserve"> - United Nations Interim Administration Mission in Kosovo </w:t>
      </w:r>
    </w:p>
    <w:p w:rsidR="00F52A7B" w:rsidRPr="001F7985" w:rsidRDefault="00F52A7B" w:rsidP="00F52A7B">
      <w:pPr>
        <w:autoSpaceDE w:val="0"/>
        <w:jc w:val="both"/>
        <w:rPr>
          <w:lang w:val="en-GB"/>
        </w:rPr>
      </w:pPr>
      <w:r w:rsidRPr="001F7985">
        <w:rPr>
          <w:b/>
          <w:lang w:val="en-GB"/>
        </w:rPr>
        <w:t>VRIC</w:t>
      </w:r>
      <w:r w:rsidRPr="001F7985">
        <w:rPr>
          <w:lang w:val="en-GB"/>
        </w:rPr>
        <w:t xml:space="preserve"> - Victim Recovery and Identification Commission</w:t>
      </w:r>
    </w:p>
    <w:p w:rsidR="00546DB5" w:rsidRPr="001F7985" w:rsidRDefault="00F52A7B">
      <w:pPr>
        <w:autoSpaceDE w:val="0"/>
        <w:jc w:val="both"/>
        <w:rPr>
          <w:lang w:val="en-GB"/>
        </w:rPr>
      </w:pPr>
      <w:r w:rsidRPr="001F7985">
        <w:rPr>
          <w:b/>
          <w:lang w:val="en-GB"/>
        </w:rPr>
        <w:t xml:space="preserve">WCIU </w:t>
      </w:r>
      <w:r w:rsidRPr="001F7985">
        <w:rPr>
          <w:lang w:val="en-GB"/>
        </w:rPr>
        <w:t>- War Crimes Investigation Unit</w:t>
      </w:r>
    </w:p>
    <w:sectPr w:rsidR="00546DB5" w:rsidRPr="001F7985" w:rsidSect="006A620F">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92" w:rsidRDefault="00F96392">
      <w:r>
        <w:separator/>
      </w:r>
    </w:p>
  </w:endnote>
  <w:endnote w:type="continuationSeparator" w:id="0">
    <w:p w:rsidR="00F96392" w:rsidRDefault="00F9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92" w:rsidRDefault="00F96392">
      <w:r>
        <w:separator/>
      </w:r>
    </w:p>
  </w:footnote>
  <w:footnote w:type="continuationSeparator" w:id="0">
    <w:p w:rsidR="00F96392" w:rsidRDefault="00F96392">
      <w:r>
        <w:continuationSeparator/>
      </w:r>
    </w:p>
  </w:footnote>
  <w:footnote w:id="1">
    <w:p w:rsidR="00B02386" w:rsidRPr="006A620F" w:rsidRDefault="00B02386" w:rsidP="00DC1ED1">
      <w:pPr>
        <w:pStyle w:val="FootnoteText"/>
        <w:jc w:val="both"/>
        <w:rPr>
          <w:rFonts w:ascii="Times New Roman" w:hAnsi="Times New Roman"/>
          <w:sz w:val="20"/>
          <w:lang w:val="en-US"/>
        </w:rPr>
      </w:pPr>
      <w:r w:rsidRPr="006A620F">
        <w:rPr>
          <w:rStyle w:val="FootnoteReference"/>
          <w:rFonts w:ascii="Times New Roman" w:hAnsi="Times New Roman"/>
          <w:sz w:val="20"/>
        </w:rPr>
        <w:footnoteRef/>
      </w:r>
      <w:r w:rsidR="006A620F">
        <w:rPr>
          <w:rFonts w:ascii="Times New Roman" w:hAnsi="Times New Roman"/>
          <w:sz w:val="20"/>
        </w:rPr>
        <w:t xml:space="preserve"> </w:t>
      </w:r>
      <w:r w:rsidRPr="006A620F">
        <w:rPr>
          <w:rFonts w:ascii="Times New Roman" w:hAnsi="Times New Roman"/>
          <w:sz w:val="20"/>
        </w:rPr>
        <w:t>A list of abbreviations and acronyms contained in the text can be found in the attached Annex.</w:t>
      </w:r>
    </w:p>
  </w:footnote>
  <w:footnote w:id="2">
    <w:p w:rsidR="003A521C" w:rsidRPr="006A620F" w:rsidRDefault="003A521C" w:rsidP="003A521C">
      <w:pPr>
        <w:pStyle w:val="FootnoteText"/>
        <w:jc w:val="both"/>
        <w:rPr>
          <w:rFonts w:ascii="Times New Roman" w:hAnsi="Times New Roman"/>
          <w:sz w:val="20"/>
        </w:rPr>
      </w:pPr>
      <w:r w:rsidRPr="006A620F">
        <w:rPr>
          <w:rStyle w:val="FootnoteReference"/>
          <w:rFonts w:ascii="Times New Roman" w:hAnsi="Times New Roman"/>
          <w:sz w:val="20"/>
        </w:rPr>
        <w:footnoteRef/>
      </w:r>
      <w:r w:rsidRPr="006A620F">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6A620F">
        <w:rPr>
          <w:rFonts w:ascii="Times New Roman" w:hAnsi="Times New Roman"/>
          <w:i/>
          <w:sz w:val="20"/>
        </w:rPr>
        <w:t xml:space="preserve"> </w:t>
      </w:r>
      <w:proofErr w:type="spellStart"/>
      <w:r w:rsidRPr="006A620F">
        <w:rPr>
          <w:rFonts w:ascii="Times New Roman" w:hAnsi="Times New Roman"/>
          <w:i/>
          <w:sz w:val="20"/>
        </w:rPr>
        <w:t>Behrami</w:t>
      </w:r>
      <w:proofErr w:type="spellEnd"/>
      <w:r w:rsidRPr="006A620F">
        <w:rPr>
          <w:rFonts w:ascii="Times New Roman" w:hAnsi="Times New Roman"/>
          <w:i/>
          <w:sz w:val="20"/>
        </w:rPr>
        <w:t xml:space="preserve"> and </w:t>
      </w:r>
      <w:proofErr w:type="spellStart"/>
      <w:r w:rsidRPr="006A620F">
        <w:rPr>
          <w:rFonts w:ascii="Times New Roman" w:hAnsi="Times New Roman"/>
          <w:i/>
          <w:sz w:val="20"/>
        </w:rPr>
        <w:t>Behrami</w:t>
      </w:r>
      <w:proofErr w:type="spellEnd"/>
      <w:r w:rsidRPr="006A620F">
        <w:rPr>
          <w:rFonts w:ascii="Times New Roman" w:hAnsi="Times New Roman"/>
          <w:i/>
          <w:sz w:val="20"/>
        </w:rPr>
        <w:t xml:space="preserve"> v. France</w:t>
      </w:r>
      <w:r w:rsidRPr="006A620F">
        <w:rPr>
          <w:rFonts w:ascii="Times New Roman" w:hAnsi="Times New Roman"/>
          <w:sz w:val="20"/>
        </w:rPr>
        <w:t xml:space="preserve"> and </w:t>
      </w:r>
      <w:proofErr w:type="spellStart"/>
      <w:r w:rsidRPr="006A620F">
        <w:rPr>
          <w:rFonts w:ascii="Times New Roman" w:hAnsi="Times New Roman"/>
          <w:i/>
          <w:sz w:val="20"/>
        </w:rPr>
        <w:t>Saramati</w:t>
      </w:r>
      <w:proofErr w:type="spellEnd"/>
      <w:r w:rsidRPr="006A620F">
        <w:rPr>
          <w:rFonts w:ascii="Times New Roman" w:hAnsi="Times New Roman"/>
          <w:i/>
          <w:sz w:val="20"/>
        </w:rPr>
        <w:t xml:space="preserve"> v. France, Germany and Norway</w:t>
      </w:r>
      <w:r w:rsidRPr="006A620F">
        <w:rPr>
          <w:rFonts w:ascii="Times New Roman" w:hAnsi="Times New Roman"/>
          <w:sz w:val="20"/>
        </w:rPr>
        <w:t xml:space="preserve">, nos. </w:t>
      </w:r>
      <w:r w:rsidRPr="006A620F">
        <w:rPr>
          <w:rStyle w:val="sb8d990e2"/>
          <w:rFonts w:ascii="Times New Roman" w:hAnsi="Times New Roman"/>
          <w:sz w:val="20"/>
        </w:rPr>
        <w:t xml:space="preserve">71412/01 and78166/01, </w:t>
      </w:r>
      <w:r w:rsidRPr="006A620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6A620F">
          <w:rPr>
            <w:rStyle w:val="Hyperlink"/>
            <w:rFonts w:ascii="Times New Roman" w:hAnsi="Times New Roman"/>
            <w:color w:val="auto"/>
            <w:sz w:val="20"/>
          </w:rPr>
          <w:t>www.unhchr.org</w:t>
        </w:r>
      </w:hyperlink>
      <w:r w:rsidRPr="006A620F">
        <w:rPr>
          <w:rFonts w:ascii="Times New Roman" w:hAnsi="Times New Roman"/>
          <w:sz w:val="20"/>
        </w:rPr>
        <w:t xml:space="preserve">) and by the International Committee of the Red Cross (available at </w:t>
      </w:r>
      <w:hyperlink r:id="rId2" w:history="1">
        <w:r w:rsidRPr="006A620F">
          <w:rPr>
            <w:rStyle w:val="Hyperlink"/>
            <w:rFonts w:ascii="Times New Roman" w:hAnsi="Times New Roman"/>
            <w:color w:val="auto"/>
            <w:sz w:val="20"/>
          </w:rPr>
          <w:t>http://familylinks.icrc.org/kosovo/en</w:t>
        </w:r>
      </w:hyperlink>
      <w:r w:rsidRPr="006A620F">
        <w:rPr>
          <w:rFonts w:ascii="Times New Roman" w:hAnsi="Times New Roman"/>
          <w:sz w:val="20"/>
        </w:rPr>
        <w:t>).</w:t>
      </w:r>
    </w:p>
  </w:footnote>
  <w:footnote w:id="3">
    <w:p w:rsidR="00B02386" w:rsidRPr="006A620F" w:rsidRDefault="00B02386" w:rsidP="00687A76">
      <w:pPr>
        <w:pStyle w:val="FootnoteText"/>
        <w:jc w:val="both"/>
        <w:rPr>
          <w:rFonts w:ascii="Times New Roman" w:hAnsi="Times New Roman"/>
          <w:sz w:val="20"/>
          <w:lang w:val="en-US"/>
        </w:rPr>
      </w:pPr>
      <w:r w:rsidRPr="006A620F">
        <w:rPr>
          <w:rStyle w:val="FootnoteReference"/>
          <w:rFonts w:ascii="Times New Roman" w:hAnsi="Times New Roman"/>
          <w:sz w:val="20"/>
        </w:rPr>
        <w:footnoteRef/>
      </w:r>
      <w:r w:rsidR="006A620F">
        <w:rPr>
          <w:rFonts w:ascii="Times New Roman" w:hAnsi="Times New Roman"/>
          <w:sz w:val="20"/>
        </w:rPr>
        <w:t xml:space="preserve"> </w:t>
      </w:r>
      <w:r w:rsidRPr="006A620F">
        <w:rPr>
          <w:rFonts w:ascii="Times New Roman" w:hAnsi="Times New Roman"/>
          <w:sz w:val="20"/>
        </w:rPr>
        <w:t>The OMPF database is not open to public. The Panel accessed it with regard to this case on 1</w:t>
      </w:r>
      <w:r w:rsidR="00097806" w:rsidRPr="006A620F">
        <w:rPr>
          <w:rFonts w:ascii="Times New Roman" w:hAnsi="Times New Roman"/>
          <w:sz w:val="20"/>
        </w:rPr>
        <w:t>5</w:t>
      </w:r>
      <w:r w:rsidRPr="006A620F">
        <w:rPr>
          <w:rFonts w:ascii="Times New Roman" w:hAnsi="Times New Roman"/>
          <w:sz w:val="20"/>
        </w:rPr>
        <w:t xml:space="preserve"> October 2014.</w:t>
      </w:r>
    </w:p>
  </w:footnote>
  <w:footnote w:id="4">
    <w:p w:rsidR="00B02386" w:rsidRPr="006A620F" w:rsidRDefault="00B02386" w:rsidP="00687A76">
      <w:pPr>
        <w:pStyle w:val="FootnoteText"/>
        <w:jc w:val="both"/>
        <w:rPr>
          <w:rFonts w:ascii="Times New Roman" w:hAnsi="Times New Roman"/>
          <w:sz w:val="20"/>
        </w:rPr>
      </w:pPr>
      <w:r w:rsidRPr="006A620F">
        <w:rPr>
          <w:rStyle w:val="FootnoteReference"/>
          <w:rFonts w:ascii="Times New Roman" w:hAnsi="Times New Roman"/>
          <w:sz w:val="20"/>
        </w:rPr>
        <w:footnoteRef/>
      </w:r>
      <w:r w:rsidR="006A620F">
        <w:rPr>
          <w:rFonts w:ascii="Times New Roman" w:hAnsi="Times New Roman"/>
          <w:sz w:val="20"/>
        </w:rPr>
        <w:t xml:space="preserve"> </w:t>
      </w:r>
      <w:r w:rsidRPr="006A620F">
        <w:rPr>
          <w:rFonts w:ascii="Times New Roman" w:hAnsi="Times New Roman"/>
          <w:sz w:val="20"/>
        </w:rPr>
        <w:t xml:space="preserve">The ICMP database is available at:  </w:t>
      </w:r>
      <w:hyperlink r:id="rId3" w:history="1">
        <w:r w:rsidRPr="006A620F">
          <w:rPr>
            <w:rStyle w:val="Hyperlink"/>
            <w:rFonts w:ascii="Times New Roman" w:hAnsi="Times New Roman"/>
            <w:color w:val="auto"/>
            <w:sz w:val="20"/>
          </w:rPr>
          <w:t>http://www.ic-mp.org/fdmsweb/index.php?w=mp_details&amp;l=en</w:t>
        </w:r>
      </w:hyperlink>
      <w:r w:rsidRPr="006A620F">
        <w:rPr>
          <w:rFonts w:ascii="Times New Roman" w:hAnsi="Times New Roman"/>
          <w:sz w:val="20"/>
        </w:rPr>
        <w:t xml:space="preserve"> (accessed on 1</w:t>
      </w:r>
      <w:r w:rsidR="00097806" w:rsidRPr="006A620F">
        <w:rPr>
          <w:rFonts w:ascii="Times New Roman" w:hAnsi="Times New Roman"/>
          <w:sz w:val="20"/>
        </w:rPr>
        <w:t>5</w:t>
      </w:r>
      <w:r w:rsidRPr="006A620F">
        <w:rPr>
          <w:rFonts w:ascii="Times New Roman" w:hAnsi="Times New Roman"/>
          <w:sz w:val="20"/>
        </w:rPr>
        <w:t xml:space="preserve"> October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86" w:rsidRPr="000722CE" w:rsidRDefault="00911C49">
    <w:pPr>
      <w:pStyle w:val="Header"/>
      <w:jc w:val="right"/>
      <w:rPr>
        <w:sz w:val="20"/>
        <w:szCs w:val="20"/>
      </w:rPr>
    </w:pPr>
    <w:r w:rsidRPr="000722CE">
      <w:rPr>
        <w:sz w:val="20"/>
        <w:szCs w:val="20"/>
      </w:rPr>
      <w:fldChar w:fldCharType="begin"/>
    </w:r>
    <w:r w:rsidR="00B02386" w:rsidRPr="000722CE">
      <w:rPr>
        <w:sz w:val="20"/>
        <w:szCs w:val="20"/>
      </w:rPr>
      <w:instrText xml:space="preserve"> PAGE   \* MERGEFORMAT </w:instrText>
    </w:r>
    <w:r w:rsidRPr="000722CE">
      <w:rPr>
        <w:sz w:val="20"/>
        <w:szCs w:val="20"/>
      </w:rPr>
      <w:fldChar w:fldCharType="separate"/>
    </w:r>
    <w:r w:rsidR="00211C42">
      <w:rPr>
        <w:noProof/>
        <w:sz w:val="20"/>
        <w:szCs w:val="20"/>
      </w:rPr>
      <w:t>27</w:t>
    </w:r>
    <w:r w:rsidRPr="000722CE">
      <w:rPr>
        <w:sz w:val="20"/>
        <w:szCs w:val="20"/>
      </w:rPr>
      <w:fldChar w:fldCharType="end"/>
    </w:r>
  </w:p>
  <w:p w:rsidR="00B02386" w:rsidRDefault="00B02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25F"/>
    <w:multiLevelType w:val="hybridMultilevel"/>
    <w:tmpl w:val="5F746D02"/>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183272"/>
    <w:multiLevelType w:val="hybridMultilevel"/>
    <w:tmpl w:val="0D7A7E06"/>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841526C"/>
    <w:multiLevelType w:val="hybridMultilevel"/>
    <w:tmpl w:val="43B6291A"/>
    <w:lvl w:ilvl="0" w:tplc="500A05A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89002D"/>
    <w:multiLevelType w:val="hybridMultilevel"/>
    <w:tmpl w:val="9126EC8E"/>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772072C"/>
    <w:multiLevelType w:val="multilevel"/>
    <w:tmpl w:val="CCAC97C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F67BE"/>
    <w:multiLevelType w:val="hybridMultilevel"/>
    <w:tmpl w:val="9F200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EA000E"/>
    <w:multiLevelType w:val="hybridMultilevel"/>
    <w:tmpl w:val="FFA045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5A3CF5"/>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7AD1627"/>
    <w:multiLevelType w:val="hybridMultilevel"/>
    <w:tmpl w:val="786E83A8"/>
    <w:lvl w:ilvl="0" w:tplc="A9F22E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BB057F"/>
    <w:multiLevelType w:val="hybridMultilevel"/>
    <w:tmpl w:val="463E2582"/>
    <w:lvl w:ilvl="0" w:tplc="E0B29EC8">
      <w:start w:val="1"/>
      <w:numFmt w:val="decimal"/>
      <w:lvlText w:val="%1."/>
      <w:lvlJc w:val="left"/>
      <w:pPr>
        <w:tabs>
          <w:tab w:val="num" w:pos="360"/>
        </w:tabs>
        <w:ind w:left="360" w:hanging="360"/>
      </w:pPr>
      <w:rPr>
        <w:rFonts w:hint="default"/>
        <w:b w:val="0"/>
        <w:i w:val="0"/>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8">
    <w:nsid w:val="7E9039FF"/>
    <w:multiLevelType w:val="hybridMultilevel"/>
    <w:tmpl w:val="869696E4"/>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1"/>
  </w:num>
  <w:num w:numId="4">
    <w:abstractNumId w:val="7"/>
  </w:num>
  <w:num w:numId="5">
    <w:abstractNumId w:val="12"/>
  </w:num>
  <w:num w:numId="6">
    <w:abstractNumId w:val="3"/>
  </w:num>
  <w:num w:numId="7">
    <w:abstractNumId w:val="10"/>
  </w:num>
  <w:num w:numId="8">
    <w:abstractNumId w:val="5"/>
  </w:num>
  <w:num w:numId="9">
    <w:abstractNumId w:val="4"/>
  </w:num>
  <w:num w:numId="10">
    <w:abstractNumId w:val="1"/>
  </w:num>
  <w:num w:numId="11">
    <w:abstractNumId w:val="2"/>
  </w:num>
  <w:num w:numId="12">
    <w:abstractNumId w:val="1"/>
  </w:num>
  <w:num w:numId="13">
    <w:abstractNumId w:val="14"/>
  </w:num>
  <w:num w:numId="14">
    <w:abstractNumId w:val="9"/>
  </w:num>
  <w:num w:numId="15">
    <w:abstractNumId w:val="0"/>
  </w:num>
  <w:num w:numId="16">
    <w:abstractNumId w:val="15"/>
  </w:num>
  <w:num w:numId="17">
    <w:abstractNumId w:val="16"/>
  </w:num>
  <w:num w:numId="18">
    <w:abstractNumId w:val="8"/>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0FF"/>
    <w:rsid w:val="00007E91"/>
    <w:rsid w:val="0001052E"/>
    <w:rsid w:val="00012BBB"/>
    <w:rsid w:val="0001588C"/>
    <w:rsid w:val="00015EAF"/>
    <w:rsid w:val="00017BD2"/>
    <w:rsid w:val="0002011C"/>
    <w:rsid w:val="000209DC"/>
    <w:rsid w:val="00022E69"/>
    <w:rsid w:val="00025BD8"/>
    <w:rsid w:val="00025D67"/>
    <w:rsid w:val="00025DC5"/>
    <w:rsid w:val="000300C8"/>
    <w:rsid w:val="00032CA7"/>
    <w:rsid w:val="00033882"/>
    <w:rsid w:val="00033D6B"/>
    <w:rsid w:val="00035A70"/>
    <w:rsid w:val="00035BBB"/>
    <w:rsid w:val="00036C5F"/>
    <w:rsid w:val="00042514"/>
    <w:rsid w:val="00044820"/>
    <w:rsid w:val="00044FA2"/>
    <w:rsid w:val="00046EBD"/>
    <w:rsid w:val="000507C8"/>
    <w:rsid w:val="00050B85"/>
    <w:rsid w:val="00054459"/>
    <w:rsid w:val="000565C8"/>
    <w:rsid w:val="00056A25"/>
    <w:rsid w:val="00057B23"/>
    <w:rsid w:val="00060474"/>
    <w:rsid w:val="00060C31"/>
    <w:rsid w:val="000618F1"/>
    <w:rsid w:val="00063A91"/>
    <w:rsid w:val="00064CF9"/>
    <w:rsid w:val="00064E34"/>
    <w:rsid w:val="00065134"/>
    <w:rsid w:val="0006762B"/>
    <w:rsid w:val="00071523"/>
    <w:rsid w:val="000722CE"/>
    <w:rsid w:val="00073F8C"/>
    <w:rsid w:val="00074D6B"/>
    <w:rsid w:val="00075D74"/>
    <w:rsid w:val="00075FC9"/>
    <w:rsid w:val="00077145"/>
    <w:rsid w:val="00077DE9"/>
    <w:rsid w:val="0008098F"/>
    <w:rsid w:val="0008099B"/>
    <w:rsid w:val="00082345"/>
    <w:rsid w:val="00083E24"/>
    <w:rsid w:val="00086415"/>
    <w:rsid w:val="000875E1"/>
    <w:rsid w:val="00091C96"/>
    <w:rsid w:val="0009299E"/>
    <w:rsid w:val="0009345C"/>
    <w:rsid w:val="00094FA3"/>
    <w:rsid w:val="000958B3"/>
    <w:rsid w:val="00097806"/>
    <w:rsid w:val="000A1F42"/>
    <w:rsid w:val="000A21A8"/>
    <w:rsid w:val="000A233E"/>
    <w:rsid w:val="000A4208"/>
    <w:rsid w:val="000A49BC"/>
    <w:rsid w:val="000A4C40"/>
    <w:rsid w:val="000A65EB"/>
    <w:rsid w:val="000A6E33"/>
    <w:rsid w:val="000A7439"/>
    <w:rsid w:val="000B133A"/>
    <w:rsid w:val="000B139B"/>
    <w:rsid w:val="000B3F8D"/>
    <w:rsid w:val="000B46F6"/>
    <w:rsid w:val="000B51F2"/>
    <w:rsid w:val="000B5C31"/>
    <w:rsid w:val="000C3B66"/>
    <w:rsid w:val="000C425B"/>
    <w:rsid w:val="000C7592"/>
    <w:rsid w:val="000C7B8E"/>
    <w:rsid w:val="000D0543"/>
    <w:rsid w:val="000D0693"/>
    <w:rsid w:val="000D1606"/>
    <w:rsid w:val="000D362F"/>
    <w:rsid w:val="000D46DF"/>
    <w:rsid w:val="000D579F"/>
    <w:rsid w:val="000D59E7"/>
    <w:rsid w:val="000D5BCF"/>
    <w:rsid w:val="000D6BAA"/>
    <w:rsid w:val="000E12A4"/>
    <w:rsid w:val="000E23B6"/>
    <w:rsid w:val="000E2956"/>
    <w:rsid w:val="000E2A2A"/>
    <w:rsid w:val="000E4F11"/>
    <w:rsid w:val="000E59FE"/>
    <w:rsid w:val="000F0C8F"/>
    <w:rsid w:val="000F1240"/>
    <w:rsid w:val="000F2772"/>
    <w:rsid w:val="000F475D"/>
    <w:rsid w:val="000F50A9"/>
    <w:rsid w:val="000F5F92"/>
    <w:rsid w:val="000F6E16"/>
    <w:rsid w:val="000F7BEF"/>
    <w:rsid w:val="000F7E70"/>
    <w:rsid w:val="00100111"/>
    <w:rsid w:val="001003BC"/>
    <w:rsid w:val="0010071F"/>
    <w:rsid w:val="001013E5"/>
    <w:rsid w:val="001018B0"/>
    <w:rsid w:val="00102BB7"/>
    <w:rsid w:val="00103F69"/>
    <w:rsid w:val="00106865"/>
    <w:rsid w:val="00107C24"/>
    <w:rsid w:val="00111B60"/>
    <w:rsid w:val="00112081"/>
    <w:rsid w:val="00112756"/>
    <w:rsid w:val="001132C3"/>
    <w:rsid w:val="00113503"/>
    <w:rsid w:val="00114786"/>
    <w:rsid w:val="0011549D"/>
    <w:rsid w:val="001155AC"/>
    <w:rsid w:val="00115F02"/>
    <w:rsid w:val="00117054"/>
    <w:rsid w:val="00121E9E"/>
    <w:rsid w:val="00122DFB"/>
    <w:rsid w:val="00123F99"/>
    <w:rsid w:val="00124B43"/>
    <w:rsid w:val="00124C66"/>
    <w:rsid w:val="001279D7"/>
    <w:rsid w:val="001307C4"/>
    <w:rsid w:val="00132A3A"/>
    <w:rsid w:val="00133592"/>
    <w:rsid w:val="001350FB"/>
    <w:rsid w:val="001403C2"/>
    <w:rsid w:val="00140481"/>
    <w:rsid w:val="0014048A"/>
    <w:rsid w:val="0014335B"/>
    <w:rsid w:val="001449C9"/>
    <w:rsid w:val="0014568C"/>
    <w:rsid w:val="00145983"/>
    <w:rsid w:val="001512A5"/>
    <w:rsid w:val="001512EA"/>
    <w:rsid w:val="001530BE"/>
    <w:rsid w:val="00153694"/>
    <w:rsid w:val="00153F23"/>
    <w:rsid w:val="00154325"/>
    <w:rsid w:val="00154829"/>
    <w:rsid w:val="00154E5E"/>
    <w:rsid w:val="00160E65"/>
    <w:rsid w:val="0016135C"/>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424E"/>
    <w:rsid w:val="00184384"/>
    <w:rsid w:val="001852D9"/>
    <w:rsid w:val="00185CAB"/>
    <w:rsid w:val="00186B18"/>
    <w:rsid w:val="00190271"/>
    <w:rsid w:val="00192123"/>
    <w:rsid w:val="00194191"/>
    <w:rsid w:val="00194800"/>
    <w:rsid w:val="00194D93"/>
    <w:rsid w:val="00195ECC"/>
    <w:rsid w:val="00197979"/>
    <w:rsid w:val="001A0793"/>
    <w:rsid w:val="001A08B0"/>
    <w:rsid w:val="001A57F8"/>
    <w:rsid w:val="001A5F6B"/>
    <w:rsid w:val="001A6816"/>
    <w:rsid w:val="001A7B85"/>
    <w:rsid w:val="001B1325"/>
    <w:rsid w:val="001B155D"/>
    <w:rsid w:val="001B1A1A"/>
    <w:rsid w:val="001B241F"/>
    <w:rsid w:val="001B3E87"/>
    <w:rsid w:val="001B44B7"/>
    <w:rsid w:val="001B4620"/>
    <w:rsid w:val="001B4F35"/>
    <w:rsid w:val="001B6B46"/>
    <w:rsid w:val="001B7E46"/>
    <w:rsid w:val="001C0F0F"/>
    <w:rsid w:val="001C20FE"/>
    <w:rsid w:val="001C2229"/>
    <w:rsid w:val="001C238F"/>
    <w:rsid w:val="001C6555"/>
    <w:rsid w:val="001D2C42"/>
    <w:rsid w:val="001D311B"/>
    <w:rsid w:val="001D3B8A"/>
    <w:rsid w:val="001D45F5"/>
    <w:rsid w:val="001D4A00"/>
    <w:rsid w:val="001D5261"/>
    <w:rsid w:val="001D5F2F"/>
    <w:rsid w:val="001D6CAC"/>
    <w:rsid w:val="001D6E26"/>
    <w:rsid w:val="001D73A9"/>
    <w:rsid w:val="001D7A5D"/>
    <w:rsid w:val="001E0730"/>
    <w:rsid w:val="001E0D8A"/>
    <w:rsid w:val="001E11FB"/>
    <w:rsid w:val="001E2639"/>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23A"/>
    <w:rsid w:val="001F73C2"/>
    <w:rsid w:val="001F7985"/>
    <w:rsid w:val="00201CB5"/>
    <w:rsid w:val="00202598"/>
    <w:rsid w:val="00202F90"/>
    <w:rsid w:val="00203109"/>
    <w:rsid w:val="00203B95"/>
    <w:rsid w:val="00203FF4"/>
    <w:rsid w:val="002074D2"/>
    <w:rsid w:val="00207662"/>
    <w:rsid w:val="00207EF6"/>
    <w:rsid w:val="002119C2"/>
    <w:rsid w:val="00211C42"/>
    <w:rsid w:val="00211E05"/>
    <w:rsid w:val="002147F2"/>
    <w:rsid w:val="00215EA8"/>
    <w:rsid w:val="00222D2F"/>
    <w:rsid w:val="00225BAB"/>
    <w:rsid w:val="002274C0"/>
    <w:rsid w:val="00231A61"/>
    <w:rsid w:val="00231EE6"/>
    <w:rsid w:val="0023308F"/>
    <w:rsid w:val="0023537F"/>
    <w:rsid w:val="002360DA"/>
    <w:rsid w:val="002361C0"/>
    <w:rsid w:val="00236A14"/>
    <w:rsid w:val="0024137B"/>
    <w:rsid w:val="002443C3"/>
    <w:rsid w:val="002473B8"/>
    <w:rsid w:val="00250376"/>
    <w:rsid w:val="00250C69"/>
    <w:rsid w:val="002524AF"/>
    <w:rsid w:val="00252B9E"/>
    <w:rsid w:val="002539EF"/>
    <w:rsid w:val="0025400A"/>
    <w:rsid w:val="00255130"/>
    <w:rsid w:val="00260384"/>
    <w:rsid w:val="002624D6"/>
    <w:rsid w:val="00262A2F"/>
    <w:rsid w:val="00262B1E"/>
    <w:rsid w:val="00262B44"/>
    <w:rsid w:val="0026374C"/>
    <w:rsid w:val="00263C51"/>
    <w:rsid w:val="002640D8"/>
    <w:rsid w:val="00265A15"/>
    <w:rsid w:val="00267300"/>
    <w:rsid w:val="0027204F"/>
    <w:rsid w:val="002737ED"/>
    <w:rsid w:val="002745CF"/>
    <w:rsid w:val="00275342"/>
    <w:rsid w:val="00275457"/>
    <w:rsid w:val="002758B9"/>
    <w:rsid w:val="00276E5E"/>
    <w:rsid w:val="002816FF"/>
    <w:rsid w:val="00281FB3"/>
    <w:rsid w:val="00282B40"/>
    <w:rsid w:val="00284A77"/>
    <w:rsid w:val="00285F55"/>
    <w:rsid w:val="0028685C"/>
    <w:rsid w:val="00287CA7"/>
    <w:rsid w:val="00291D60"/>
    <w:rsid w:val="00294415"/>
    <w:rsid w:val="0029468D"/>
    <w:rsid w:val="00296C0B"/>
    <w:rsid w:val="00296DF3"/>
    <w:rsid w:val="002A18D6"/>
    <w:rsid w:val="002A1DEC"/>
    <w:rsid w:val="002A29A6"/>
    <w:rsid w:val="002B171F"/>
    <w:rsid w:val="002B26D6"/>
    <w:rsid w:val="002B3F09"/>
    <w:rsid w:val="002B48E6"/>
    <w:rsid w:val="002B4F4E"/>
    <w:rsid w:val="002B520C"/>
    <w:rsid w:val="002B6427"/>
    <w:rsid w:val="002C03BD"/>
    <w:rsid w:val="002C1C5F"/>
    <w:rsid w:val="002C4906"/>
    <w:rsid w:val="002C568F"/>
    <w:rsid w:val="002C656A"/>
    <w:rsid w:val="002C6D03"/>
    <w:rsid w:val="002C786F"/>
    <w:rsid w:val="002D0AE4"/>
    <w:rsid w:val="002D180A"/>
    <w:rsid w:val="002D3DA0"/>
    <w:rsid w:val="002D4ED0"/>
    <w:rsid w:val="002D5DD4"/>
    <w:rsid w:val="002D602F"/>
    <w:rsid w:val="002D6356"/>
    <w:rsid w:val="002E02C5"/>
    <w:rsid w:val="002E0AF3"/>
    <w:rsid w:val="002E2507"/>
    <w:rsid w:val="002F1033"/>
    <w:rsid w:val="002F2D96"/>
    <w:rsid w:val="002F42C3"/>
    <w:rsid w:val="002F46FC"/>
    <w:rsid w:val="002F65E3"/>
    <w:rsid w:val="00301BFF"/>
    <w:rsid w:val="00301DAC"/>
    <w:rsid w:val="00304848"/>
    <w:rsid w:val="00304D18"/>
    <w:rsid w:val="00310F91"/>
    <w:rsid w:val="00311875"/>
    <w:rsid w:val="00312441"/>
    <w:rsid w:val="00312456"/>
    <w:rsid w:val="00316A34"/>
    <w:rsid w:val="00321C03"/>
    <w:rsid w:val="00322780"/>
    <w:rsid w:val="00323223"/>
    <w:rsid w:val="00326663"/>
    <w:rsid w:val="003306C0"/>
    <w:rsid w:val="00330F5D"/>
    <w:rsid w:val="00331C9B"/>
    <w:rsid w:val="003324DB"/>
    <w:rsid w:val="00332682"/>
    <w:rsid w:val="003337EF"/>
    <w:rsid w:val="00333CD6"/>
    <w:rsid w:val="00334B24"/>
    <w:rsid w:val="00337F92"/>
    <w:rsid w:val="003456E7"/>
    <w:rsid w:val="003461EF"/>
    <w:rsid w:val="00346381"/>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53FA"/>
    <w:rsid w:val="00366207"/>
    <w:rsid w:val="003700EB"/>
    <w:rsid w:val="00370271"/>
    <w:rsid w:val="003725D1"/>
    <w:rsid w:val="00372A92"/>
    <w:rsid w:val="003733F1"/>
    <w:rsid w:val="0037385F"/>
    <w:rsid w:val="00374546"/>
    <w:rsid w:val="0037514B"/>
    <w:rsid w:val="003778B8"/>
    <w:rsid w:val="00380A17"/>
    <w:rsid w:val="003837C8"/>
    <w:rsid w:val="00385A0E"/>
    <w:rsid w:val="003905A1"/>
    <w:rsid w:val="00390AE0"/>
    <w:rsid w:val="003931B9"/>
    <w:rsid w:val="0039337A"/>
    <w:rsid w:val="003936AC"/>
    <w:rsid w:val="00393E8D"/>
    <w:rsid w:val="0039675C"/>
    <w:rsid w:val="003A0AF8"/>
    <w:rsid w:val="003A2EBD"/>
    <w:rsid w:val="003A3EA5"/>
    <w:rsid w:val="003A3EAA"/>
    <w:rsid w:val="003A521C"/>
    <w:rsid w:val="003A78E3"/>
    <w:rsid w:val="003A7B8B"/>
    <w:rsid w:val="003B0328"/>
    <w:rsid w:val="003B1C80"/>
    <w:rsid w:val="003B1F5E"/>
    <w:rsid w:val="003B2010"/>
    <w:rsid w:val="003B29DC"/>
    <w:rsid w:val="003B43F3"/>
    <w:rsid w:val="003B5FD2"/>
    <w:rsid w:val="003B7650"/>
    <w:rsid w:val="003C04A5"/>
    <w:rsid w:val="003C080C"/>
    <w:rsid w:val="003C1DDB"/>
    <w:rsid w:val="003C3BF4"/>
    <w:rsid w:val="003C5F4E"/>
    <w:rsid w:val="003C6352"/>
    <w:rsid w:val="003D1D0C"/>
    <w:rsid w:val="003D2EB6"/>
    <w:rsid w:val="003D5712"/>
    <w:rsid w:val="003D5866"/>
    <w:rsid w:val="003D7560"/>
    <w:rsid w:val="003E3EC5"/>
    <w:rsid w:val="003E5FA6"/>
    <w:rsid w:val="003E64E0"/>
    <w:rsid w:val="003E74BC"/>
    <w:rsid w:val="003F02F9"/>
    <w:rsid w:val="003F1FC4"/>
    <w:rsid w:val="003F3442"/>
    <w:rsid w:val="003F4D2F"/>
    <w:rsid w:val="003F53A4"/>
    <w:rsid w:val="003F54A4"/>
    <w:rsid w:val="003F5D1D"/>
    <w:rsid w:val="003F6AD6"/>
    <w:rsid w:val="003F7337"/>
    <w:rsid w:val="00400846"/>
    <w:rsid w:val="00400CED"/>
    <w:rsid w:val="00401FD2"/>
    <w:rsid w:val="00402699"/>
    <w:rsid w:val="00402B8F"/>
    <w:rsid w:val="004033CB"/>
    <w:rsid w:val="00405334"/>
    <w:rsid w:val="00405C17"/>
    <w:rsid w:val="0041262D"/>
    <w:rsid w:val="00414BA2"/>
    <w:rsid w:val="00420088"/>
    <w:rsid w:val="004202B2"/>
    <w:rsid w:val="00422729"/>
    <w:rsid w:val="00422B73"/>
    <w:rsid w:val="0042549A"/>
    <w:rsid w:val="00427A31"/>
    <w:rsid w:val="0043016C"/>
    <w:rsid w:val="00433154"/>
    <w:rsid w:val="0043400E"/>
    <w:rsid w:val="00434BB6"/>
    <w:rsid w:val="0043575D"/>
    <w:rsid w:val="0043640F"/>
    <w:rsid w:val="00440903"/>
    <w:rsid w:val="00440E88"/>
    <w:rsid w:val="0044246C"/>
    <w:rsid w:val="00443568"/>
    <w:rsid w:val="00445CD2"/>
    <w:rsid w:val="0044617E"/>
    <w:rsid w:val="004467F2"/>
    <w:rsid w:val="00455594"/>
    <w:rsid w:val="00456871"/>
    <w:rsid w:val="00462E2E"/>
    <w:rsid w:val="0046539D"/>
    <w:rsid w:val="00466DCF"/>
    <w:rsid w:val="00466E32"/>
    <w:rsid w:val="004714D9"/>
    <w:rsid w:val="00472580"/>
    <w:rsid w:val="00472DFF"/>
    <w:rsid w:val="00473041"/>
    <w:rsid w:val="00474109"/>
    <w:rsid w:val="004761ED"/>
    <w:rsid w:val="0047658A"/>
    <w:rsid w:val="00476D2E"/>
    <w:rsid w:val="004812CA"/>
    <w:rsid w:val="00482953"/>
    <w:rsid w:val="004865D9"/>
    <w:rsid w:val="00487961"/>
    <w:rsid w:val="004915E6"/>
    <w:rsid w:val="00491629"/>
    <w:rsid w:val="00491B79"/>
    <w:rsid w:val="004938F7"/>
    <w:rsid w:val="00494E3A"/>
    <w:rsid w:val="00495CD7"/>
    <w:rsid w:val="004961CD"/>
    <w:rsid w:val="004963EA"/>
    <w:rsid w:val="00497092"/>
    <w:rsid w:val="00497C0C"/>
    <w:rsid w:val="004A010F"/>
    <w:rsid w:val="004A04CF"/>
    <w:rsid w:val="004A1322"/>
    <w:rsid w:val="004A3362"/>
    <w:rsid w:val="004A4D35"/>
    <w:rsid w:val="004A4D91"/>
    <w:rsid w:val="004A5616"/>
    <w:rsid w:val="004B095F"/>
    <w:rsid w:val="004B394B"/>
    <w:rsid w:val="004B426D"/>
    <w:rsid w:val="004B5E0A"/>
    <w:rsid w:val="004B627D"/>
    <w:rsid w:val="004B698B"/>
    <w:rsid w:val="004B7B66"/>
    <w:rsid w:val="004B7D5D"/>
    <w:rsid w:val="004C0211"/>
    <w:rsid w:val="004C104C"/>
    <w:rsid w:val="004C2709"/>
    <w:rsid w:val="004C541B"/>
    <w:rsid w:val="004C5ECD"/>
    <w:rsid w:val="004C5F53"/>
    <w:rsid w:val="004C6E8C"/>
    <w:rsid w:val="004C7167"/>
    <w:rsid w:val="004C78D2"/>
    <w:rsid w:val="004D13F9"/>
    <w:rsid w:val="004D1952"/>
    <w:rsid w:val="004D1A75"/>
    <w:rsid w:val="004D2F71"/>
    <w:rsid w:val="004D3536"/>
    <w:rsid w:val="004D4C22"/>
    <w:rsid w:val="004D4DDE"/>
    <w:rsid w:val="004D6157"/>
    <w:rsid w:val="004D6808"/>
    <w:rsid w:val="004E1F8C"/>
    <w:rsid w:val="004E415C"/>
    <w:rsid w:val="004E6657"/>
    <w:rsid w:val="004E7BB8"/>
    <w:rsid w:val="004F0CAB"/>
    <w:rsid w:val="004F2A97"/>
    <w:rsid w:val="004F308E"/>
    <w:rsid w:val="004F622A"/>
    <w:rsid w:val="004F71FD"/>
    <w:rsid w:val="004F77C7"/>
    <w:rsid w:val="005006CB"/>
    <w:rsid w:val="005009F9"/>
    <w:rsid w:val="00503BB3"/>
    <w:rsid w:val="00505C47"/>
    <w:rsid w:val="005077B1"/>
    <w:rsid w:val="00510BF8"/>
    <w:rsid w:val="005125E2"/>
    <w:rsid w:val="00512BF7"/>
    <w:rsid w:val="00514229"/>
    <w:rsid w:val="00514F78"/>
    <w:rsid w:val="00516F75"/>
    <w:rsid w:val="00517C96"/>
    <w:rsid w:val="0052139E"/>
    <w:rsid w:val="00523386"/>
    <w:rsid w:val="00523C89"/>
    <w:rsid w:val="0052416C"/>
    <w:rsid w:val="005244D2"/>
    <w:rsid w:val="005257F4"/>
    <w:rsid w:val="00527DDD"/>
    <w:rsid w:val="005320BE"/>
    <w:rsid w:val="005332B2"/>
    <w:rsid w:val="0053341A"/>
    <w:rsid w:val="00535F04"/>
    <w:rsid w:val="00536F69"/>
    <w:rsid w:val="005376DF"/>
    <w:rsid w:val="00537784"/>
    <w:rsid w:val="005400F7"/>
    <w:rsid w:val="0054280D"/>
    <w:rsid w:val="005445C1"/>
    <w:rsid w:val="00544669"/>
    <w:rsid w:val="00544E5A"/>
    <w:rsid w:val="00545A64"/>
    <w:rsid w:val="00546DB5"/>
    <w:rsid w:val="00547A80"/>
    <w:rsid w:val="00551A17"/>
    <w:rsid w:val="00552913"/>
    <w:rsid w:val="00553535"/>
    <w:rsid w:val="005547B8"/>
    <w:rsid w:val="005551E0"/>
    <w:rsid w:val="00555891"/>
    <w:rsid w:val="00556CA2"/>
    <w:rsid w:val="0055732C"/>
    <w:rsid w:val="00557F1B"/>
    <w:rsid w:val="00560510"/>
    <w:rsid w:val="00560566"/>
    <w:rsid w:val="00562343"/>
    <w:rsid w:val="005627CC"/>
    <w:rsid w:val="00562AE1"/>
    <w:rsid w:val="00562FDF"/>
    <w:rsid w:val="0056401D"/>
    <w:rsid w:val="00564D34"/>
    <w:rsid w:val="00564F1B"/>
    <w:rsid w:val="00565DC7"/>
    <w:rsid w:val="00566ACD"/>
    <w:rsid w:val="00566CE6"/>
    <w:rsid w:val="00570CB4"/>
    <w:rsid w:val="0057242B"/>
    <w:rsid w:val="0057242F"/>
    <w:rsid w:val="005724AA"/>
    <w:rsid w:val="005728B8"/>
    <w:rsid w:val="00574094"/>
    <w:rsid w:val="005748E9"/>
    <w:rsid w:val="0057625F"/>
    <w:rsid w:val="00576B13"/>
    <w:rsid w:val="00577877"/>
    <w:rsid w:val="005802A4"/>
    <w:rsid w:val="00581378"/>
    <w:rsid w:val="0058249E"/>
    <w:rsid w:val="0058307C"/>
    <w:rsid w:val="005836D4"/>
    <w:rsid w:val="00584113"/>
    <w:rsid w:val="00585F9E"/>
    <w:rsid w:val="00586BCD"/>
    <w:rsid w:val="00587501"/>
    <w:rsid w:val="00590DAC"/>
    <w:rsid w:val="0059175C"/>
    <w:rsid w:val="005917EC"/>
    <w:rsid w:val="00591952"/>
    <w:rsid w:val="00594F5E"/>
    <w:rsid w:val="0059532D"/>
    <w:rsid w:val="00595E25"/>
    <w:rsid w:val="00596005"/>
    <w:rsid w:val="00596E66"/>
    <w:rsid w:val="005A0E34"/>
    <w:rsid w:val="005A1063"/>
    <w:rsid w:val="005A1E72"/>
    <w:rsid w:val="005A21F6"/>
    <w:rsid w:val="005A2D17"/>
    <w:rsid w:val="005A3CF1"/>
    <w:rsid w:val="005A4111"/>
    <w:rsid w:val="005A585E"/>
    <w:rsid w:val="005A6546"/>
    <w:rsid w:val="005A6E82"/>
    <w:rsid w:val="005B0B1E"/>
    <w:rsid w:val="005B1893"/>
    <w:rsid w:val="005B5EAD"/>
    <w:rsid w:val="005C1007"/>
    <w:rsid w:val="005C110C"/>
    <w:rsid w:val="005C1D18"/>
    <w:rsid w:val="005C3CD5"/>
    <w:rsid w:val="005C437F"/>
    <w:rsid w:val="005C4D36"/>
    <w:rsid w:val="005C51CD"/>
    <w:rsid w:val="005C5C9F"/>
    <w:rsid w:val="005C65AF"/>
    <w:rsid w:val="005C6729"/>
    <w:rsid w:val="005C78E7"/>
    <w:rsid w:val="005D10AB"/>
    <w:rsid w:val="005D12FB"/>
    <w:rsid w:val="005D2F19"/>
    <w:rsid w:val="005D3ED0"/>
    <w:rsid w:val="005D53CE"/>
    <w:rsid w:val="005D6318"/>
    <w:rsid w:val="005E057A"/>
    <w:rsid w:val="005E361B"/>
    <w:rsid w:val="005E37C5"/>
    <w:rsid w:val="005E403F"/>
    <w:rsid w:val="005E4930"/>
    <w:rsid w:val="005E4D0E"/>
    <w:rsid w:val="005E63B2"/>
    <w:rsid w:val="005E6E2D"/>
    <w:rsid w:val="005E7C8F"/>
    <w:rsid w:val="005F0A19"/>
    <w:rsid w:val="005F1505"/>
    <w:rsid w:val="005F3130"/>
    <w:rsid w:val="005F4187"/>
    <w:rsid w:val="005F4D79"/>
    <w:rsid w:val="005F50D2"/>
    <w:rsid w:val="005F686D"/>
    <w:rsid w:val="005F6DB3"/>
    <w:rsid w:val="005F742B"/>
    <w:rsid w:val="00603A86"/>
    <w:rsid w:val="00603C7F"/>
    <w:rsid w:val="00603D49"/>
    <w:rsid w:val="006055F9"/>
    <w:rsid w:val="00605915"/>
    <w:rsid w:val="0060616E"/>
    <w:rsid w:val="00606B4D"/>
    <w:rsid w:val="00606C3D"/>
    <w:rsid w:val="00607974"/>
    <w:rsid w:val="006111E0"/>
    <w:rsid w:val="00612698"/>
    <w:rsid w:val="00612EEF"/>
    <w:rsid w:val="00617352"/>
    <w:rsid w:val="006205AF"/>
    <w:rsid w:val="00621EDB"/>
    <w:rsid w:val="0062454F"/>
    <w:rsid w:val="00626D88"/>
    <w:rsid w:val="00627BF9"/>
    <w:rsid w:val="00627C8E"/>
    <w:rsid w:val="0063039E"/>
    <w:rsid w:val="00634FB5"/>
    <w:rsid w:val="006366D0"/>
    <w:rsid w:val="00640576"/>
    <w:rsid w:val="00645CFD"/>
    <w:rsid w:val="00645FDE"/>
    <w:rsid w:val="00646CA4"/>
    <w:rsid w:val="00647569"/>
    <w:rsid w:val="00647FB1"/>
    <w:rsid w:val="00653ED0"/>
    <w:rsid w:val="0065509D"/>
    <w:rsid w:val="006552EA"/>
    <w:rsid w:val="00657746"/>
    <w:rsid w:val="00660FE2"/>
    <w:rsid w:val="00661955"/>
    <w:rsid w:val="00666D9E"/>
    <w:rsid w:val="006719B3"/>
    <w:rsid w:val="006721DE"/>
    <w:rsid w:val="006727E3"/>
    <w:rsid w:val="00672847"/>
    <w:rsid w:val="00672EBE"/>
    <w:rsid w:val="00673235"/>
    <w:rsid w:val="00674101"/>
    <w:rsid w:val="00675375"/>
    <w:rsid w:val="00675587"/>
    <w:rsid w:val="0067630B"/>
    <w:rsid w:val="00677B90"/>
    <w:rsid w:val="00680C67"/>
    <w:rsid w:val="00680D38"/>
    <w:rsid w:val="00680D8D"/>
    <w:rsid w:val="00680EF0"/>
    <w:rsid w:val="00681CBA"/>
    <w:rsid w:val="00683067"/>
    <w:rsid w:val="00683122"/>
    <w:rsid w:val="00683C09"/>
    <w:rsid w:val="006840D8"/>
    <w:rsid w:val="00684DAD"/>
    <w:rsid w:val="00684F40"/>
    <w:rsid w:val="0068501A"/>
    <w:rsid w:val="00685FBC"/>
    <w:rsid w:val="00687A76"/>
    <w:rsid w:val="00687ACD"/>
    <w:rsid w:val="006918C3"/>
    <w:rsid w:val="006946F9"/>
    <w:rsid w:val="006958C0"/>
    <w:rsid w:val="00697A75"/>
    <w:rsid w:val="006A09FC"/>
    <w:rsid w:val="006A1710"/>
    <w:rsid w:val="006A2CDF"/>
    <w:rsid w:val="006A620F"/>
    <w:rsid w:val="006A7C1B"/>
    <w:rsid w:val="006B052B"/>
    <w:rsid w:val="006B153E"/>
    <w:rsid w:val="006B3F3C"/>
    <w:rsid w:val="006B49BF"/>
    <w:rsid w:val="006B4A0D"/>
    <w:rsid w:val="006B5D21"/>
    <w:rsid w:val="006B61A2"/>
    <w:rsid w:val="006B7576"/>
    <w:rsid w:val="006C155F"/>
    <w:rsid w:val="006C632F"/>
    <w:rsid w:val="006D07AF"/>
    <w:rsid w:val="006D151D"/>
    <w:rsid w:val="006D1FDA"/>
    <w:rsid w:val="006D223B"/>
    <w:rsid w:val="006D27C6"/>
    <w:rsid w:val="006D36DF"/>
    <w:rsid w:val="006D3708"/>
    <w:rsid w:val="006D4B5A"/>
    <w:rsid w:val="006D6D07"/>
    <w:rsid w:val="006D7BF7"/>
    <w:rsid w:val="006D7EF2"/>
    <w:rsid w:val="006E0A93"/>
    <w:rsid w:val="006E0E61"/>
    <w:rsid w:val="006E22BD"/>
    <w:rsid w:val="006E22C0"/>
    <w:rsid w:val="006E2940"/>
    <w:rsid w:val="006E2B68"/>
    <w:rsid w:val="006E574A"/>
    <w:rsid w:val="006E6458"/>
    <w:rsid w:val="006E6FD9"/>
    <w:rsid w:val="006F08BF"/>
    <w:rsid w:val="006F185F"/>
    <w:rsid w:val="006F3248"/>
    <w:rsid w:val="006F3551"/>
    <w:rsid w:val="006F35D0"/>
    <w:rsid w:val="006F38CB"/>
    <w:rsid w:val="006F4F29"/>
    <w:rsid w:val="006F5815"/>
    <w:rsid w:val="006F5AEE"/>
    <w:rsid w:val="00701BF3"/>
    <w:rsid w:val="00703CEB"/>
    <w:rsid w:val="007047D9"/>
    <w:rsid w:val="007113B1"/>
    <w:rsid w:val="00712081"/>
    <w:rsid w:val="00712E54"/>
    <w:rsid w:val="00712F51"/>
    <w:rsid w:val="00713389"/>
    <w:rsid w:val="00717451"/>
    <w:rsid w:val="00717EF9"/>
    <w:rsid w:val="00717EFD"/>
    <w:rsid w:val="00721EE9"/>
    <w:rsid w:val="00722152"/>
    <w:rsid w:val="007226B8"/>
    <w:rsid w:val="007226EA"/>
    <w:rsid w:val="0072411F"/>
    <w:rsid w:val="00724AC2"/>
    <w:rsid w:val="00724F0F"/>
    <w:rsid w:val="00725E6E"/>
    <w:rsid w:val="007262D2"/>
    <w:rsid w:val="007268E7"/>
    <w:rsid w:val="007270F4"/>
    <w:rsid w:val="00733834"/>
    <w:rsid w:val="007339BC"/>
    <w:rsid w:val="00734483"/>
    <w:rsid w:val="00734B20"/>
    <w:rsid w:val="0073561C"/>
    <w:rsid w:val="00735744"/>
    <w:rsid w:val="007401D9"/>
    <w:rsid w:val="00740494"/>
    <w:rsid w:val="00741266"/>
    <w:rsid w:val="00741861"/>
    <w:rsid w:val="0074205E"/>
    <w:rsid w:val="007421B8"/>
    <w:rsid w:val="007424FB"/>
    <w:rsid w:val="00743F72"/>
    <w:rsid w:val="00745771"/>
    <w:rsid w:val="00746D31"/>
    <w:rsid w:val="00746F47"/>
    <w:rsid w:val="0075201A"/>
    <w:rsid w:val="0075283E"/>
    <w:rsid w:val="00752CBA"/>
    <w:rsid w:val="00752CDF"/>
    <w:rsid w:val="0075317B"/>
    <w:rsid w:val="00754113"/>
    <w:rsid w:val="007551D8"/>
    <w:rsid w:val="0076188F"/>
    <w:rsid w:val="00761AE8"/>
    <w:rsid w:val="007645ED"/>
    <w:rsid w:val="00764AE3"/>
    <w:rsid w:val="00764FB4"/>
    <w:rsid w:val="0076572E"/>
    <w:rsid w:val="00767CBA"/>
    <w:rsid w:val="0077155C"/>
    <w:rsid w:val="00773988"/>
    <w:rsid w:val="00773BBC"/>
    <w:rsid w:val="007766DD"/>
    <w:rsid w:val="00780319"/>
    <w:rsid w:val="007805BB"/>
    <w:rsid w:val="00781C73"/>
    <w:rsid w:val="00781FB5"/>
    <w:rsid w:val="00781FF3"/>
    <w:rsid w:val="00784973"/>
    <w:rsid w:val="00784C56"/>
    <w:rsid w:val="00784E54"/>
    <w:rsid w:val="00785097"/>
    <w:rsid w:val="00787BE3"/>
    <w:rsid w:val="0079425A"/>
    <w:rsid w:val="00795BB4"/>
    <w:rsid w:val="00797093"/>
    <w:rsid w:val="007A4CC9"/>
    <w:rsid w:val="007A510C"/>
    <w:rsid w:val="007A59FF"/>
    <w:rsid w:val="007A6514"/>
    <w:rsid w:val="007A6603"/>
    <w:rsid w:val="007A6FCD"/>
    <w:rsid w:val="007A7BD7"/>
    <w:rsid w:val="007A7FBF"/>
    <w:rsid w:val="007B03A4"/>
    <w:rsid w:val="007B087A"/>
    <w:rsid w:val="007B15C2"/>
    <w:rsid w:val="007B1A13"/>
    <w:rsid w:val="007C02C1"/>
    <w:rsid w:val="007C06EC"/>
    <w:rsid w:val="007C1589"/>
    <w:rsid w:val="007C2F12"/>
    <w:rsid w:val="007C36B5"/>
    <w:rsid w:val="007C49D1"/>
    <w:rsid w:val="007C65E0"/>
    <w:rsid w:val="007D0F2F"/>
    <w:rsid w:val="007D6EE1"/>
    <w:rsid w:val="007E16C0"/>
    <w:rsid w:val="007E1ECA"/>
    <w:rsid w:val="007E2E9C"/>
    <w:rsid w:val="007E55D4"/>
    <w:rsid w:val="007E6371"/>
    <w:rsid w:val="007E697E"/>
    <w:rsid w:val="007E6D1A"/>
    <w:rsid w:val="007F093F"/>
    <w:rsid w:val="007F14FA"/>
    <w:rsid w:val="007F1851"/>
    <w:rsid w:val="007F5582"/>
    <w:rsid w:val="007F5C0F"/>
    <w:rsid w:val="007F6002"/>
    <w:rsid w:val="007F656B"/>
    <w:rsid w:val="007F7030"/>
    <w:rsid w:val="007F758E"/>
    <w:rsid w:val="007F7B59"/>
    <w:rsid w:val="0080248B"/>
    <w:rsid w:val="008025EF"/>
    <w:rsid w:val="0080361B"/>
    <w:rsid w:val="00803953"/>
    <w:rsid w:val="008055F7"/>
    <w:rsid w:val="00806DE7"/>
    <w:rsid w:val="0080739D"/>
    <w:rsid w:val="00807460"/>
    <w:rsid w:val="00810AF7"/>
    <w:rsid w:val="008113E6"/>
    <w:rsid w:val="008120E0"/>
    <w:rsid w:val="008124CF"/>
    <w:rsid w:val="00814B70"/>
    <w:rsid w:val="008151F0"/>
    <w:rsid w:val="00815A55"/>
    <w:rsid w:val="008161EB"/>
    <w:rsid w:val="008163AC"/>
    <w:rsid w:val="00816608"/>
    <w:rsid w:val="00816B4C"/>
    <w:rsid w:val="00816D2E"/>
    <w:rsid w:val="00820338"/>
    <w:rsid w:val="00821457"/>
    <w:rsid w:val="00823B43"/>
    <w:rsid w:val="00825759"/>
    <w:rsid w:val="00825877"/>
    <w:rsid w:val="00825946"/>
    <w:rsid w:val="00825E0B"/>
    <w:rsid w:val="00830055"/>
    <w:rsid w:val="00831692"/>
    <w:rsid w:val="00831702"/>
    <w:rsid w:val="008319EF"/>
    <w:rsid w:val="00831AA2"/>
    <w:rsid w:val="00833DD7"/>
    <w:rsid w:val="008346E5"/>
    <w:rsid w:val="00834F5B"/>
    <w:rsid w:val="008361ED"/>
    <w:rsid w:val="0083635A"/>
    <w:rsid w:val="008365C8"/>
    <w:rsid w:val="0084129B"/>
    <w:rsid w:val="0084147D"/>
    <w:rsid w:val="00844EB0"/>
    <w:rsid w:val="00845797"/>
    <w:rsid w:val="0084722B"/>
    <w:rsid w:val="008479EE"/>
    <w:rsid w:val="00850866"/>
    <w:rsid w:val="00851DA7"/>
    <w:rsid w:val="00853B40"/>
    <w:rsid w:val="00856F93"/>
    <w:rsid w:val="00857011"/>
    <w:rsid w:val="0086268D"/>
    <w:rsid w:val="0086321C"/>
    <w:rsid w:val="008637CF"/>
    <w:rsid w:val="00865396"/>
    <w:rsid w:val="00865513"/>
    <w:rsid w:val="008675D4"/>
    <w:rsid w:val="008701FB"/>
    <w:rsid w:val="0087266C"/>
    <w:rsid w:val="008726F1"/>
    <w:rsid w:val="00872E4B"/>
    <w:rsid w:val="00873573"/>
    <w:rsid w:val="0087511F"/>
    <w:rsid w:val="00876521"/>
    <w:rsid w:val="008766C9"/>
    <w:rsid w:val="0088164D"/>
    <w:rsid w:val="00882D6D"/>
    <w:rsid w:val="00883E76"/>
    <w:rsid w:val="00884825"/>
    <w:rsid w:val="008856A3"/>
    <w:rsid w:val="00885816"/>
    <w:rsid w:val="00886BEF"/>
    <w:rsid w:val="008874D0"/>
    <w:rsid w:val="00887FE3"/>
    <w:rsid w:val="008917D7"/>
    <w:rsid w:val="00891B9C"/>
    <w:rsid w:val="0089240E"/>
    <w:rsid w:val="00893462"/>
    <w:rsid w:val="0089406E"/>
    <w:rsid w:val="008940D8"/>
    <w:rsid w:val="00894572"/>
    <w:rsid w:val="008951D3"/>
    <w:rsid w:val="008953F1"/>
    <w:rsid w:val="00896D39"/>
    <w:rsid w:val="008978E2"/>
    <w:rsid w:val="00897911"/>
    <w:rsid w:val="008A1049"/>
    <w:rsid w:val="008A32D9"/>
    <w:rsid w:val="008A377C"/>
    <w:rsid w:val="008A3876"/>
    <w:rsid w:val="008A590C"/>
    <w:rsid w:val="008B099A"/>
    <w:rsid w:val="008B35E6"/>
    <w:rsid w:val="008B39E8"/>
    <w:rsid w:val="008B3F0E"/>
    <w:rsid w:val="008B53F6"/>
    <w:rsid w:val="008B575F"/>
    <w:rsid w:val="008B5FCE"/>
    <w:rsid w:val="008B6B8A"/>
    <w:rsid w:val="008B7A73"/>
    <w:rsid w:val="008C0366"/>
    <w:rsid w:val="008C06A6"/>
    <w:rsid w:val="008C17DA"/>
    <w:rsid w:val="008C1A0D"/>
    <w:rsid w:val="008C2153"/>
    <w:rsid w:val="008C4BEB"/>
    <w:rsid w:val="008C4C37"/>
    <w:rsid w:val="008C61C8"/>
    <w:rsid w:val="008C7D01"/>
    <w:rsid w:val="008D0AA4"/>
    <w:rsid w:val="008D0D8D"/>
    <w:rsid w:val="008D136A"/>
    <w:rsid w:val="008D3411"/>
    <w:rsid w:val="008D3755"/>
    <w:rsid w:val="008D5CBD"/>
    <w:rsid w:val="008D6EF2"/>
    <w:rsid w:val="008E02C0"/>
    <w:rsid w:val="008E057A"/>
    <w:rsid w:val="008E20B9"/>
    <w:rsid w:val="008E3F48"/>
    <w:rsid w:val="008E4C8E"/>
    <w:rsid w:val="008E61A6"/>
    <w:rsid w:val="008E71FD"/>
    <w:rsid w:val="008F03DC"/>
    <w:rsid w:val="008F2AA2"/>
    <w:rsid w:val="008F30A1"/>
    <w:rsid w:val="008F490D"/>
    <w:rsid w:val="008F7CC9"/>
    <w:rsid w:val="00900AAF"/>
    <w:rsid w:val="0090154E"/>
    <w:rsid w:val="00901792"/>
    <w:rsid w:val="00901E52"/>
    <w:rsid w:val="009036E8"/>
    <w:rsid w:val="00904104"/>
    <w:rsid w:val="009045A8"/>
    <w:rsid w:val="00910794"/>
    <w:rsid w:val="009111BF"/>
    <w:rsid w:val="00911C44"/>
    <w:rsid w:val="00911C49"/>
    <w:rsid w:val="00911EF6"/>
    <w:rsid w:val="009167AD"/>
    <w:rsid w:val="00924BDE"/>
    <w:rsid w:val="00926E66"/>
    <w:rsid w:val="00927872"/>
    <w:rsid w:val="0092797B"/>
    <w:rsid w:val="00927F0F"/>
    <w:rsid w:val="00927FFE"/>
    <w:rsid w:val="00930157"/>
    <w:rsid w:val="009315B8"/>
    <w:rsid w:val="009326F1"/>
    <w:rsid w:val="00933211"/>
    <w:rsid w:val="0093340F"/>
    <w:rsid w:val="00934452"/>
    <w:rsid w:val="00936003"/>
    <w:rsid w:val="00937791"/>
    <w:rsid w:val="00937A68"/>
    <w:rsid w:val="00940B1C"/>
    <w:rsid w:val="00942BD5"/>
    <w:rsid w:val="00944C36"/>
    <w:rsid w:val="00945B09"/>
    <w:rsid w:val="00950781"/>
    <w:rsid w:val="0095721D"/>
    <w:rsid w:val="009572D9"/>
    <w:rsid w:val="00957EA5"/>
    <w:rsid w:val="0096600E"/>
    <w:rsid w:val="009663D0"/>
    <w:rsid w:val="00970864"/>
    <w:rsid w:val="0097140F"/>
    <w:rsid w:val="00972B62"/>
    <w:rsid w:val="0097345F"/>
    <w:rsid w:val="0097400B"/>
    <w:rsid w:val="009749BD"/>
    <w:rsid w:val="00975A52"/>
    <w:rsid w:val="00976363"/>
    <w:rsid w:val="009774EC"/>
    <w:rsid w:val="00977B5A"/>
    <w:rsid w:val="009801CE"/>
    <w:rsid w:val="00980D8C"/>
    <w:rsid w:val="00981667"/>
    <w:rsid w:val="00984027"/>
    <w:rsid w:val="00987028"/>
    <w:rsid w:val="0098749A"/>
    <w:rsid w:val="00987E2A"/>
    <w:rsid w:val="00991C5A"/>
    <w:rsid w:val="00992C26"/>
    <w:rsid w:val="00994207"/>
    <w:rsid w:val="0099424F"/>
    <w:rsid w:val="00994262"/>
    <w:rsid w:val="0099493F"/>
    <w:rsid w:val="00995D52"/>
    <w:rsid w:val="00997CBB"/>
    <w:rsid w:val="00997D32"/>
    <w:rsid w:val="009A2285"/>
    <w:rsid w:val="009A26A1"/>
    <w:rsid w:val="009A2B51"/>
    <w:rsid w:val="009A2EAB"/>
    <w:rsid w:val="009A561D"/>
    <w:rsid w:val="009A63E1"/>
    <w:rsid w:val="009A66F2"/>
    <w:rsid w:val="009A79CF"/>
    <w:rsid w:val="009B0218"/>
    <w:rsid w:val="009B13C1"/>
    <w:rsid w:val="009B3F1E"/>
    <w:rsid w:val="009B47ED"/>
    <w:rsid w:val="009B49EF"/>
    <w:rsid w:val="009B4CF8"/>
    <w:rsid w:val="009B4D35"/>
    <w:rsid w:val="009B66ED"/>
    <w:rsid w:val="009B768B"/>
    <w:rsid w:val="009B789A"/>
    <w:rsid w:val="009C0420"/>
    <w:rsid w:val="009C0B86"/>
    <w:rsid w:val="009C0C57"/>
    <w:rsid w:val="009C1927"/>
    <w:rsid w:val="009C28A7"/>
    <w:rsid w:val="009C2C61"/>
    <w:rsid w:val="009C35B3"/>
    <w:rsid w:val="009C4826"/>
    <w:rsid w:val="009C4FE8"/>
    <w:rsid w:val="009C508D"/>
    <w:rsid w:val="009D04C5"/>
    <w:rsid w:val="009D0690"/>
    <w:rsid w:val="009D0946"/>
    <w:rsid w:val="009D30B4"/>
    <w:rsid w:val="009D3639"/>
    <w:rsid w:val="009D5130"/>
    <w:rsid w:val="009D5C9F"/>
    <w:rsid w:val="009D5ED9"/>
    <w:rsid w:val="009D707F"/>
    <w:rsid w:val="009D7762"/>
    <w:rsid w:val="009D7E10"/>
    <w:rsid w:val="009E0847"/>
    <w:rsid w:val="009E1029"/>
    <w:rsid w:val="009E1487"/>
    <w:rsid w:val="009E17E8"/>
    <w:rsid w:val="009E1CA5"/>
    <w:rsid w:val="009E5B51"/>
    <w:rsid w:val="009E6063"/>
    <w:rsid w:val="009E7731"/>
    <w:rsid w:val="009E7E60"/>
    <w:rsid w:val="009F0DB6"/>
    <w:rsid w:val="009F1E51"/>
    <w:rsid w:val="009F36E2"/>
    <w:rsid w:val="009F3F4C"/>
    <w:rsid w:val="009F4F4D"/>
    <w:rsid w:val="009F566B"/>
    <w:rsid w:val="009F6CF5"/>
    <w:rsid w:val="00A0063E"/>
    <w:rsid w:val="00A05B20"/>
    <w:rsid w:val="00A05DAD"/>
    <w:rsid w:val="00A06923"/>
    <w:rsid w:val="00A06EF8"/>
    <w:rsid w:val="00A07242"/>
    <w:rsid w:val="00A07367"/>
    <w:rsid w:val="00A07DDA"/>
    <w:rsid w:val="00A11F3A"/>
    <w:rsid w:val="00A12667"/>
    <w:rsid w:val="00A12C99"/>
    <w:rsid w:val="00A13072"/>
    <w:rsid w:val="00A152E2"/>
    <w:rsid w:val="00A16F56"/>
    <w:rsid w:val="00A221B9"/>
    <w:rsid w:val="00A24033"/>
    <w:rsid w:val="00A24507"/>
    <w:rsid w:val="00A25273"/>
    <w:rsid w:val="00A25496"/>
    <w:rsid w:val="00A30113"/>
    <w:rsid w:val="00A30137"/>
    <w:rsid w:val="00A30EF1"/>
    <w:rsid w:val="00A30F7A"/>
    <w:rsid w:val="00A32181"/>
    <w:rsid w:val="00A33D31"/>
    <w:rsid w:val="00A40F98"/>
    <w:rsid w:val="00A42AEA"/>
    <w:rsid w:val="00A43AA7"/>
    <w:rsid w:val="00A445B9"/>
    <w:rsid w:val="00A44619"/>
    <w:rsid w:val="00A44907"/>
    <w:rsid w:val="00A465CD"/>
    <w:rsid w:val="00A47B30"/>
    <w:rsid w:val="00A51E90"/>
    <w:rsid w:val="00A533F3"/>
    <w:rsid w:val="00A5380D"/>
    <w:rsid w:val="00A5402E"/>
    <w:rsid w:val="00A549B8"/>
    <w:rsid w:val="00A57E24"/>
    <w:rsid w:val="00A6045A"/>
    <w:rsid w:val="00A6132C"/>
    <w:rsid w:val="00A6154B"/>
    <w:rsid w:val="00A61E60"/>
    <w:rsid w:val="00A63E76"/>
    <w:rsid w:val="00A64166"/>
    <w:rsid w:val="00A66705"/>
    <w:rsid w:val="00A67319"/>
    <w:rsid w:val="00A673B2"/>
    <w:rsid w:val="00A67D9F"/>
    <w:rsid w:val="00A70D0F"/>
    <w:rsid w:val="00A71A89"/>
    <w:rsid w:val="00A73A2A"/>
    <w:rsid w:val="00A73D67"/>
    <w:rsid w:val="00A76D60"/>
    <w:rsid w:val="00A81C0C"/>
    <w:rsid w:val="00A8238B"/>
    <w:rsid w:val="00A82736"/>
    <w:rsid w:val="00A835D5"/>
    <w:rsid w:val="00A85275"/>
    <w:rsid w:val="00A866A1"/>
    <w:rsid w:val="00A87786"/>
    <w:rsid w:val="00A914FB"/>
    <w:rsid w:val="00A926CD"/>
    <w:rsid w:val="00A93A3D"/>
    <w:rsid w:val="00A94D41"/>
    <w:rsid w:val="00A954D0"/>
    <w:rsid w:val="00AA1371"/>
    <w:rsid w:val="00AA14F4"/>
    <w:rsid w:val="00AA42FB"/>
    <w:rsid w:val="00AA5BE1"/>
    <w:rsid w:val="00AA6131"/>
    <w:rsid w:val="00AA784D"/>
    <w:rsid w:val="00AB1AA6"/>
    <w:rsid w:val="00AB4F6D"/>
    <w:rsid w:val="00AB5DEF"/>
    <w:rsid w:val="00AB638B"/>
    <w:rsid w:val="00AC5768"/>
    <w:rsid w:val="00AC5877"/>
    <w:rsid w:val="00AC67A3"/>
    <w:rsid w:val="00AC6F5D"/>
    <w:rsid w:val="00AC73BB"/>
    <w:rsid w:val="00AC77BA"/>
    <w:rsid w:val="00AD13A7"/>
    <w:rsid w:val="00AD2553"/>
    <w:rsid w:val="00AD31FE"/>
    <w:rsid w:val="00AD4851"/>
    <w:rsid w:val="00AD5565"/>
    <w:rsid w:val="00AD5EFF"/>
    <w:rsid w:val="00AD5FE6"/>
    <w:rsid w:val="00AD68EF"/>
    <w:rsid w:val="00AD69B2"/>
    <w:rsid w:val="00AD7E04"/>
    <w:rsid w:val="00AE2795"/>
    <w:rsid w:val="00AE399C"/>
    <w:rsid w:val="00AE4660"/>
    <w:rsid w:val="00AE51FC"/>
    <w:rsid w:val="00AE5762"/>
    <w:rsid w:val="00AE69E9"/>
    <w:rsid w:val="00AF00F9"/>
    <w:rsid w:val="00AF1CC4"/>
    <w:rsid w:val="00AF1E02"/>
    <w:rsid w:val="00AF457A"/>
    <w:rsid w:val="00AF482D"/>
    <w:rsid w:val="00AF51AB"/>
    <w:rsid w:val="00AF6CCA"/>
    <w:rsid w:val="00AF73E9"/>
    <w:rsid w:val="00AF7E68"/>
    <w:rsid w:val="00B012D0"/>
    <w:rsid w:val="00B015CC"/>
    <w:rsid w:val="00B02218"/>
    <w:rsid w:val="00B02386"/>
    <w:rsid w:val="00B06DCA"/>
    <w:rsid w:val="00B07154"/>
    <w:rsid w:val="00B07C8E"/>
    <w:rsid w:val="00B07D4E"/>
    <w:rsid w:val="00B125A8"/>
    <w:rsid w:val="00B142B2"/>
    <w:rsid w:val="00B16DA7"/>
    <w:rsid w:val="00B2007F"/>
    <w:rsid w:val="00B202AE"/>
    <w:rsid w:val="00B21A61"/>
    <w:rsid w:val="00B224F0"/>
    <w:rsid w:val="00B23ED2"/>
    <w:rsid w:val="00B241DA"/>
    <w:rsid w:val="00B25262"/>
    <w:rsid w:val="00B255E5"/>
    <w:rsid w:val="00B25A3B"/>
    <w:rsid w:val="00B25D94"/>
    <w:rsid w:val="00B267B0"/>
    <w:rsid w:val="00B3649B"/>
    <w:rsid w:val="00B36877"/>
    <w:rsid w:val="00B36DFC"/>
    <w:rsid w:val="00B42A58"/>
    <w:rsid w:val="00B44FCE"/>
    <w:rsid w:val="00B45F68"/>
    <w:rsid w:val="00B462E9"/>
    <w:rsid w:val="00B50188"/>
    <w:rsid w:val="00B50600"/>
    <w:rsid w:val="00B51D8A"/>
    <w:rsid w:val="00B53FEB"/>
    <w:rsid w:val="00B55DBE"/>
    <w:rsid w:val="00B56BF9"/>
    <w:rsid w:val="00B56DF5"/>
    <w:rsid w:val="00B62911"/>
    <w:rsid w:val="00B63490"/>
    <w:rsid w:val="00B645A8"/>
    <w:rsid w:val="00B66BBF"/>
    <w:rsid w:val="00B6742D"/>
    <w:rsid w:val="00B6798E"/>
    <w:rsid w:val="00B724DF"/>
    <w:rsid w:val="00B726FC"/>
    <w:rsid w:val="00B7270F"/>
    <w:rsid w:val="00B75F58"/>
    <w:rsid w:val="00B76005"/>
    <w:rsid w:val="00B804B9"/>
    <w:rsid w:val="00B80FC3"/>
    <w:rsid w:val="00B815D4"/>
    <w:rsid w:val="00B82339"/>
    <w:rsid w:val="00B83278"/>
    <w:rsid w:val="00B85CE4"/>
    <w:rsid w:val="00B86977"/>
    <w:rsid w:val="00B86E45"/>
    <w:rsid w:val="00B87538"/>
    <w:rsid w:val="00B92495"/>
    <w:rsid w:val="00B930D1"/>
    <w:rsid w:val="00B93C0F"/>
    <w:rsid w:val="00BA0F5B"/>
    <w:rsid w:val="00BA1DDB"/>
    <w:rsid w:val="00BA2D7C"/>
    <w:rsid w:val="00BB0B51"/>
    <w:rsid w:val="00BB1081"/>
    <w:rsid w:val="00BB17EA"/>
    <w:rsid w:val="00BB18A5"/>
    <w:rsid w:val="00BB6721"/>
    <w:rsid w:val="00BB6D67"/>
    <w:rsid w:val="00BC4DA7"/>
    <w:rsid w:val="00BC607D"/>
    <w:rsid w:val="00BC6CD8"/>
    <w:rsid w:val="00BD00C3"/>
    <w:rsid w:val="00BD07E7"/>
    <w:rsid w:val="00BD235E"/>
    <w:rsid w:val="00BD28A4"/>
    <w:rsid w:val="00BD28B4"/>
    <w:rsid w:val="00BD2925"/>
    <w:rsid w:val="00BD38EE"/>
    <w:rsid w:val="00BD54FE"/>
    <w:rsid w:val="00BD692D"/>
    <w:rsid w:val="00BD7C9C"/>
    <w:rsid w:val="00BE16A0"/>
    <w:rsid w:val="00BE4257"/>
    <w:rsid w:val="00BE43F5"/>
    <w:rsid w:val="00BE4A07"/>
    <w:rsid w:val="00BE5617"/>
    <w:rsid w:val="00BE6093"/>
    <w:rsid w:val="00BE60F8"/>
    <w:rsid w:val="00BF230C"/>
    <w:rsid w:val="00BF42E7"/>
    <w:rsid w:val="00BF509D"/>
    <w:rsid w:val="00BF7255"/>
    <w:rsid w:val="00C0000E"/>
    <w:rsid w:val="00C006B5"/>
    <w:rsid w:val="00C00F7C"/>
    <w:rsid w:val="00C023C6"/>
    <w:rsid w:val="00C03569"/>
    <w:rsid w:val="00C055F9"/>
    <w:rsid w:val="00C05A94"/>
    <w:rsid w:val="00C0731E"/>
    <w:rsid w:val="00C127DC"/>
    <w:rsid w:val="00C13219"/>
    <w:rsid w:val="00C1340E"/>
    <w:rsid w:val="00C1350C"/>
    <w:rsid w:val="00C13A74"/>
    <w:rsid w:val="00C13FB0"/>
    <w:rsid w:val="00C14BBD"/>
    <w:rsid w:val="00C20453"/>
    <w:rsid w:val="00C20B6F"/>
    <w:rsid w:val="00C210D7"/>
    <w:rsid w:val="00C221F8"/>
    <w:rsid w:val="00C2264B"/>
    <w:rsid w:val="00C2375C"/>
    <w:rsid w:val="00C2428D"/>
    <w:rsid w:val="00C26546"/>
    <w:rsid w:val="00C3019E"/>
    <w:rsid w:val="00C31A87"/>
    <w:rsid w:val="00C320AE"/>
    <w:rsid w:val="00C36885"/>
    <w:rsid w:val="00C376EA"/>
    <w:rsid w:val="00C37E9E"/>
    <w:rsid w:val="00C41622"/>
    <w:rsid w:val="00C41E96"/>
    <w:rsid w:val="00C44BD1"/>
    <w:rsid w:val="00C45577"/>
    <w:rsid w:val="00C45A68"/>
    <w:rsid w:val="00C4646C"/>
    <w:rsid w:val="00C46754"/>
    <w:rsid w:val="00C46FD8"/>
    <w:rsid w:val="00C50C41"/>
    <w:rsid w:val="00C50E53"/>
    <w:rsid w:val="00C526FF"/>
    <w:rsid w:val="00C55811"/>
    <w:rsid w:val="00C56AB3"/>
    <w:rsid w:val="00C60A2C"/>
    <w:rsid w:val="00C60F5E"/>
    <w:rsid w:val="00C6169C"/>
    <w:rsid w:val="00C625EA"/>
    <w:rsid w:val="00C728F0"/>
    <w:rsid w:val="00C73131"/>
    <w:rsid w:val="00C734AD"/>
    <w:rsid w:val="00C75A82"/>
    <w:rsid w:val="00C75B26"/>
    <w:rsid w:val="00C75E5A"/>
    <w:rsid w:val="00C76DE5"/>
    <w:rsid w:val="00C76FCF"/>
    <w:rsid w:val="00C808C9"/>
    <w:rsid w:val="00C813CD"/>
    <w:rsid w:val="00C81706"/>
    <w:rsid w:val="00C81EF3"/>
    <w:rsid w:val="00C837B2"/>
    <w:rsid w:val="00C84D23"/>
    <w:rsid w:val="00C85CFF"/>
    <w:rsid w:val="00C86523"/>
    <w:rsid w:val="00C90500"/>
    <w:rsid w:val="00C905F1"/>
    <w:rsid w:val="00C90FAD"/>
    <w:rsid w:val="00C916D9"/>
    <w:rsid w:val="00C921ED"/>
    <w:rsid w:val="00C9258D"/>
    <w:rsid w:val="00C92D91"/>
    <w:rsid w:val="00C945B3"/>
    <w:rsid w:val="00C9551F"/>
    <w:rsid w:val="00C961DD"/>
    <w:rsid w:val="00C96E3C"/>
    <w:rsid w:val="00C97847"/>
    <w:rsid w:val="00CA0A06"/>
    <w:rsid w:val="00CA1155"/>
    <w:rsid w:val="00CA3005"/>
    <w:rsid w:val="00CA3E87"/>
    <w:rsid w:val="00CA646D"/>
    <w:rsid w:val="00CA6D64"/>
    <w:rsid w:val="00CB098A"/>
    <w:rsid w:val="00CB0C30"/>
    <w:rsid w:val="00CB0EAA"/>
    <w:rsid w:val="00CB1306"/>
    <w:rsid w:val="00CB2DE1"/>
    <w:rsid w:val="00CB50DF"/>
    <w:rsid w:val="00CB6545"/>
    <w:rsid w:val="00CB79F5"/>
    <w:rsid w:val="00CC223C"/>
    <w:rsid w:val="00CC2755"/>
    <w:rsid w:val="00CC51DA"/>
    <w:rsid w:val="00CC5DFD"/>
    <w:rsid w:val="00CC6B19"/>
    <w:rsid w:val="00CC7B53"/>
    <w:rsid w:val="00CD002B"/>
    <w:rsid w:val="00CD1884"/>
    <w:rsid w:val="00CD39BE"/>
    <w:rsid w:val="00CD3EBE"/>
    <w:rsid w:val="00CD43B3"/>
    <w:rsid w:val="00CD4993"/>
    <w:rsid w:val="00CD5F25"/>
    <w:rsid w:val="00CD624F"/>
    <w:rsid w:val="00CD6D04"/>
    <w:rsid w:val="00CD7BC0"/>
    <w:rsid w:val="00CE0015"/>
    <w:rsid w:val="00CE030B"/>
    <w:rsid w:val="00CE1148"/>
    <w:rsid w:val="00CE1874"/>
    <w:rsid w:val="00CE1F33"/>
    <w:rsid w:val="00CE355C"/>
    <w:rsid w:val="00CE4137"/>
    <w:rsid w:val="00CE437F"/>
    <w:rsid w:val="00CE5788"/>
    <w:rsid w:val="00CF45E9"/>
    <w:rsid w:val="00CF4C0E"/>
    <w:rsid w:val="00CF563C"/>
    <w:rsid w:val="00CF7241"/>
    <w:rsid w:val="00D01AD3"/>
    <w:rsid w:val="00D057AF"/>
    <w:rsid w:val="00D112F1"/>
    <w:rsid w:val="00D12979"/>
    <w:rsid w:val="00D145C3"/>
    <w:rsid w:val="00D15BA1"/>
    <w:rsid w:val="00D16041"/>
    <w:rsid w:val="00D16B3D"/>
    <w:rsid w:val="00D20BE6"/>
    <w:rsid w:val="00D21BB0"/>
    <w:rsid w:val="00D225E7"/>
    <w:rsid w:val="00D23B40"/>
    <w:rsid w:val="00D23CC6"/>
    <w:rsid w:val="00D242DC"/>
    <w:rsid w:val="00D26C6F"/>
    <w:rsid w:val="00D27239"/>
    <w:rsid w:val="00D27B94"/>
    <w:rsid w:val="00D303D3"/>
    <w:rsid w:val="00D305C9"/>
    <w:rsid w:val="00D30F4B"/>
    <w:rsid w:val="00D30FFE"/>
    <w:rsid w:val="00D33920"/>
    <w:rsid w:val="00D34351"/>
    <w:rsid w:val="00D42A9B"/>
    <w:rsid w:val="00D432C2"/>
    <w:rsid w:val="00D447D2"/>
    <w:rsid w:val="00D4567F"/>
    <w:rsid w:val="00D47CF9"/>
    <w:rsid w:val="00D47E53"/>
    <w:rsid w:val="00D5239B"/>
    <w:rsid w:val="00D54098"/>
    <w:rsid w:val="00D5673C"/>
    <w:rsid w:val="00D57D31"/>
    <w:rsid w:val="00D608AD"/>
    <w:rsid w:val="00D62874"/>
    <w:rsid w:val="00D6336E"/>
    <w:rsid w:val="00D640F7"/>
    <w:rsid w:val="00D64ACA"/>
    <w:rsid w:val="00D65E11"/>
    <w:rsid w:val="00D67F4F"/>
    <w:rsid w:val="00D701E0"/>
    <w:rsid w:val="00D70475"/>
    <w:rsid w:val="00D70702"/>
    <w:rsid w:val="00D7091A"/>
    <w:rsid w:val="00D72022"/>
    <w:rsid w:val="00D7394E"/>
    <w:rsid w:val="00D73B1D"/>
    <w:rsid w:val="00D7420E"/>
    <w:rsid w:val="00D75560"/>
    <w:rsid w:val="00D76B47"/>
    <w:rsid w:val="00D76CDF"/>
    <w:rsid w:val="00D76E80"/>
    <w:rsid w:val="00D80D13"/>
    <w:rsid w:val="00D81681"/>
    <w:rsid w:val="00D8354F"/>
    <w:rsid w:val="00D84021"/>
    <w:rsid w:val="00D848CA"/>
    <w:rsid w:val="00D8534B"/>
    <w:rsid w:val="00D85B1F"/>
    <w:rsid w:val="00D85B39"/>
    <w:rsid w:val="00D87365"/>
    <w:rsid w:val="00D87DE2"/>
    <w:rsid w:val="00D87FFC"/>
    <w:rsid w:val="00D90EE2"/>
    <w:rsid w:val="00D9429B"/>
    <w:rsid w:val="00D96D3D"/>
    <w:rsid w:val="00D972B7"/>
    <w:rsid w:val="00DA1C65"/>
    <w:rsid w:val="00DA40CA"/>
    <w:rsid w:val="00DA4E09"/>
    <w:rsid w:val="00DA6731"/>
    <w:rsid w:val="00DA770F"/>
    <w:rsid w:val="00DB0F35"/>
    <w:rsid w:val="00DB3628"/>
    <w:rsid w:val="00DB53A9"/>
    <w:rsid w:val="00DB73D2"/>
    <w:rsid w:val="00DB77A0"/>
    <w:rsid w:val="00DB7B75"/>
    <w:rsid w:val="00DC138E"/>
    <w:rsid w:val="00DC1ED1"/>
    <w:rsid w:val="00DC430A"/>
    <w:rsid w:val="00DC694D"/>
    <w:rsid w:val="00DD09F1"/>
    <w:rsid w:val="00DD0CA4"/>
    <w:rsid w:val="00DD1AE5"/>
    <w:rsid w:val="00DD20FA"/>
    <w:rsid w:val="00DD2E5D"/>
    <w:rsid w:val="00DD544E"/>
    <w:rsid w:val="00DD5FEF"/>
    <w:rsid w:val="00DD6C82"/>
    <w:rsid w:val="00DD7F16"/>
    <w:rsid w:val="00DE140C"/>
    <w:rsid w:val="00DE3AA6"/>
    <w:rsid w:val="00DE5F7E"/>
    <w:rsid w:val="00DE67C5"/>
    <w:rsid w:val="00DE6C97"/>
    <w:rsid w:val="00DE6CE0"/>
    <w:rsid w:val="00DE6EDF"/>
    <w:rsid w:val="00DE7D84"/>
    <w:rsid w:val="00DF191D"/>
    <w:rsid w:val="00DF1F88"/>
    <w:rsid w:val="00DF223F"/>
    <w:rsid w:val="00DF2EAB"/>
    <w:rsid w:val="00DF44E4"/>
    <w:rsid w:val="00DF6BC4"/>
    <w:rsid w:val="00DF762D"/>
    <w:rsid w:val="00E000BF"/>
    <w:rsid w:val="00E038DE"/>
    <w:rsid w:val="00E03D6F"/>
    <w:rsid w:val="00E047AB"/>
    <w:rsid w:val="00E05670"/>
    <w:rsid w:val="00E05D76"/>
    <w:rsid w:val="00E06BB1"/>
    <w:rsid w:val="00E070CD"/>
    <w:rsid w:val="00E07C8C"/>
    <w:rsid w:val="00E10646"/>
    <w:rsid w:val="00E12A91"/>
    <w:rsid w:val="00E12DA3"/>
    <w:rsid w:val="00E13348"/>
    <w:rsid w:val="00E13615"/>
    <w:rsid w:val="00E1480A"/>
    <w:rsid w:val="00E15DA1"/>
    <w:rsid w:val="00E16A1B"/>
    <w:rsid w:val="00E16F1D"/>
    <w:rsid w:val="00E17B97"/>
    <w:rsid w:val="00E17DD7"/>
    <w:rsid w:val="00E17FE1"/>
    <w:rsid w:val="00E200BD"/>
    <w:rsid w:val="00E20835"/>
    <w:rsid w:val="00E20A18"/>
    <w:rsid w:val="00E23235"/>
    <w:rsid w:val="00E23A1F"/>
    <w:rsid w:val="00E23A87"/>
    <w:rsid w:val="00E2443D"/>
    <w:rsid w:val="00E26D58"/>
    <w:rsid w:val="00E27762"/>
    <w:rsid w:val="00E27F0F"/>
    <w:rsid w:val="00E30116"/>
    <w:rsid w:val="00E303B5"/>
    <w:rsid w:val="00E31976"/>
    <w:rsid w:val="00E327E1"/>
    <w:rsid w:val="00E35231"/>
    <w:rsid w:val="00E36EDB"/>
    <w:rsid w:val="00E36FD3"/>
    <w:rsid w:val="00E37EC5"/>
    <w:rsid w:val="00E44394"/>
    <w:rsid w:val="00E4729C"/>
    <w:rsid w:val="00E500EB"/>
    <w:rsid w:val="00E505FB"/>
    <w:rsid w:val="00E50857"/>
    <w:rsid w:val="00E511D6"/>
    <w:rsid w:val="00E5137D"/>
    <w:rsid w:val="00E521EC"/>
    <w:rsid w:val="00E52DB9"/>
    <w:rsid w:val="00E53F71"/>
    <w:rsid w:val="00E541F9"/>
    <w:rsid w:val="00E54208"/>
    <w:rsid w:val="00E60A24"/>
    <w:rsid w:val="00E60FA8"/>
    <w:rsid w:val="00E646A4"/>
    <w:rsid w:val="00E646BB"/>
    <w:rsid w:val="00E64D10"/>
    <w:rsid w:val="00E6706B"/>
    <w:rsid w:val="00E673F9"/>
    <w:rsid w:val="00E67FC2"/>
    <w:rsid w:val="00E7030E"/>
    <w:rsid w:val="00E72180"/>
    <w:rsid w:val="00E749ED"/>
    <w:rsid w:val="00E74C85"/>
    <w:rsid w:val="00E75490"/>
    <w:rsid w:val="00E7633D"/>
    <w:rsid w:val="00E764CC"/>
    <w:rsid w:val="00E77C72"/>
    <w:rsid w:val="00E81C89"/>
    <w:rsid w:val="00E825C6"/>
    <w:rsid w:val="00E83A34"/>
    <w:rsid w:val="00E850EE"/>
    <w:rsid w:val="00E85282"/>
    <w:rsid w:val="00E85EAC"/>
    <w:rsid w:val="00E90CFE"/>
    <w:rsid w:val="00E922BC"/>
    <w:rsid w:val="00E92346"/>
    <w:rsid w:val="00E9334E"/>
    <w:rsid w:val="00E9416A"/>
    <w:rsid w:val="00E94F82"/>
    <w:rsid w:val="00E950C9"/>
    <w:rsid w:val="00E9577F"/>
    <w:rsid w:val="00E95824"/>
    <w:rsid w:val="00E96458"/>
    <w:rsid w:val="00E96693"/>
    <w:rsid w:val="00E96B6B"/>
    <w:rsid w:val="00E97353"/>
    <w:rsid w:val="00E978ED"/>
    <w:rsid w:val="00EA2943"/>
    <w:rsid w:val="00EA3340"/>
    <w:rsid w:val="00EA506C"/>
    <w:rsid w:val="00EA6455"/>
    <w:rsid w:val="00EA746F"/>
    <w:rsid w:val="00EA75C1"/>
    <w:rsid w:val="00EA7614"/>
    <w:rsid w:val="00EA76B7"/>
    <w:rsid w:val="00EA7E68"/>
    <w:rsid w:val="00EB03C7"/>
    <w:rsid w:val="00EB2730"/>
    <w:rsid w:val="00EB2B9B"/>
    <w:rsid w:val="00EB38E6"/>
    <w:rsid w:val="00EB473C"/>
    <w:rsid w:val="00EB4B9B"/>
    <w:rsid w:val="00EB4FC3"/>
    <w:rsid w:val="00EB5DB3"/>
    <w:rsid w:val="00EB7EDC"/>
    <w:rsid w:val="00EC167B"/>
    <w:rsid w:val="00EC2005"/>
    <w:rsid w:val="00EC320F"/>
    <w:rsid w:val="00EC3CA8"/>
    <w:rsid w:val="00EC4826"/>
    <w:rsid w:val="00EC4F48"/>
    <w:rsid w:val="00EC5260"/>
    <w:rsid w:val="00EC5791"/>
    <w:rsid w:val="00ED0A8D"/>
    <w:rsid w:val="00ED1327"/>
    <w:rsid w:val="00ED2129"/>
    <w:rsid w:val="00ED23F7"/>
    <w:rsid w:val="00ED2934"/>
    <w:rsid w:val="00ED3715"/>
    <w:rsid w:val="00ED668C"/>
    <w:rsid w:val="00EE0C2B"/>
    <w:rsid w:val="00EE0C5F"/>
    <w:rsid w:val="00EE12CE"/>
    <w:rsid w:val="00EE3947"/>
    <w:rsid w:val="00EE4D62"/>
    <w:rsid w:val="00EF0D0C"/>
    <w:rsid w:val="00EF36E2"/>
    <w:rsid w:val="00EF36E3"/>
    <w:rsid w:val="00EF62F5"/>
    <w:rsid w:val="00EF712C"/>
    <w:rsid w:val="00F00AB2"/>
    <w:rsid w:val="00F01237"/>
    <w:rsid w:val="00F0164D"/>
    <w:rsid w:val="00F025DE"/>
    <w:rsid w:val="00F02813"/>
    <w:rsid w:val="00F03196"/>
    <w:rsid w:val="00F034CA"/>
    <w:rsid w:val="00F03C66"/>
    <w:rsid w:val="00F05BE8"/>
    <w:rsid w:val="00F0645F"/>
    <w:rsid w:val="00F0719F"/>
    <w:rsid w:val="00F0758D"/>
    <w:rsid w:val="00F10242"/>
    <w:rsid w:val="00F11EDC"/>
    <w:rsid w:val="00F12AAA"/>
    <w:rsid w:val="00F12F42"/>
    <w:rsid w:val="00F14DD5"/>
    <w:rsid w:val="00F16550"/>
    <w:rsid w:val="00F17A33"/>
    <w:rsid w:val="00F21A8A"/>
    <w:rsid w:val="00F27242"/>
    <w:rsid w:val="00F27A88"/>
    <w:rsid w:val="00F31028"/>
    <w:rsid w:val="00F31F0C"/>
    <w:rsid w:val="00F327C3"/>
    <w:rsid w:val="00F3340B"/>
    <w:rsid w:val="00F34C09"/>
    <w:rsid w:val="00F34DC0"/>
    <w:rsid w:val="00F37548"/>
    <w:rsid w:val="00F3779A"/>
    <w:rsid w:val="00F421E6"/>
    <w:rsid w:val="00F4241C"/>
    <w:rsid w:val="00F429E6"/>
    <w:rsid w:val="00F5028B"/>
    <w:rsid w:val="00F50673"/>
    <w:rsid w:val="00F51C55"/>
    <w:rsid w:val="00F52424"/>
    <w:rsid w:val="00F526AF"/>
    <w:rsid w:val="00F52A7B"/>
    <w:rsid w:val="00F52DB4"/>
    <w:rsid w:val="00F618C6"/>
    <w:rsid w:val="00F62819"/>
    <w:rsid w:val="00F62EF1"/>
    <w:rsid w:val="00F64C08"/>
    <w:rsid w:val="00F65614"/>
    <w:rsid w:val="00F670D2"/>
    <w:rsid w:val="00F713C4"/>
    <w:rsid w:val="00F758A0"/>
    <w:rsid w:val="00F76A72"/>
    <w:rsid w:val="00F77CA8"/>
    <w:rsid w:val="00F77EED"/>
    <w:rsid w:val="00F8023E"/>
    <w:rsid w:val="00F81E98"/>
    <w:rsid w:val="00F8224C"/>
    <w:rsid w:val="00F8291D"/>
    <w:rsid w:val="00F852C2"/>
    <w:rsid w:val="00F855B3"/>
    <w:rsid w:val="00F87807"/>
    <w:rsid w:val="00F900AE"/>
    <w:rsid w:val="00F90496"/>
    <w:rsid w:val="00F91764"/>
    <w:rsid w:val="00F9251B"/>
    <w:rsid w:val="00F95D8C"/>
    <w:rsid w:val="00F96392"/>
    <w:rsid w:val="00F96514"/>
    <w:rsid w:val="00F96C32"/>
    <w:rsid w:val="00F97F9E"/>
    <w:rsid w:val="00FA1A5C"/>
    <w:rsid w:val="00FA2E62"/>
    <w:rsid w:val="00FA506B"/>
    <w:rsid w:val="00FA6A25"/>
    <w:rsid w:val="00FB10E5"/>
    <w:rsid w:val="00FB3504"/>
    <w:rsid w:val="00FB3B57"/>
    <w:rsid w:val="00FB4E97"/>
    <w:rsid w:val="00FB587D"/>
    <w:rsid w:val="00FB5F7B"/>
    <w:rsid w:val="00FB75A8"/>
    <w:rsid w:val="00FC3D4A"/>
    <w:rsid w:val="00FC68F0"/>
    <w:rsid w:val="00FC7143"/>
    <w:rsid w:val="00FC72C1"/>
    <w:rsid w:val="00FC7A63"/>
    <w:rsid w:val="00FC7C8F"/>
    <w:rsid w:val="00FD2342"/>
    <w:rsid w:val="00FD4ABD"/>
    <w:rsid w:val="00FD5ED9"/>
    <w:rsid w:val="00FD6AE8"/>
    <w:rsid w:val="00FD6F50"/>
    <w:rsid w:val="00FD7D62"/>
    <w:rsid w:val="00FE088E"/>
    <w:rsid w:val="00FE0FB0"/>
    <w:rsid w:val="00FE13BD"/>
    <w:rsid w:val="00FE3F6A"/>
    <w:rsid w:val="00FF0950"/>
    <w:rsid w:val="00FF3527"/>
    <w:rsid w:val="00FF39DE"/>
    <w:rsid w:val="00FF4731"/>
    <w:rsid w:val="00FF4B49"/>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customStyle="1" w:styleId="s7d2086b4">
    <w:name w:val="s7d2086b4"/>
    <w:basedOn w:val="DefaultParagraphFont"/>
    <w:rsid w:val="00984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 w:type="character" w:customStyle="1" w:styleId="s7d2086b4">
    <w:name w:val="s7d2086b4"/>
    <w:basedOn w:val="DefaultParagraphFont"/>
    <w:rsid w:val="00984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4624">
      <w:bodyDiv w:val="1"/>
      <w:marLeft w:val="0"/>
      <w:marRight w:val="0"/>
      <w:marTop w:val="0"/>
      <w:marBottom w:val="0"/>
      <w:divBdr>
        <w:top w:val="none" w:sz="0" w:space="0" w:color="auto"/>
        <w:left w:val="none" w:sz="0" w:space="0" w:color="auto"/>
        <w:bottom w:val="none" w:sz="0" w:space="0" w:color="auto"/>
        <w:right w:val="none" w:sz="0" w:space="0" w:color="auto"/>
      </w:divBdr>
    </w:div>
    <w:div w:id="246621865">
      <w:bodyDiv w:val="1"/>
      <w:marLeft w:val="0"/>
      <w:marRight w:val="0"/>
      <w:marTop w:val="0"/>
      <w:marBottom w:val="0"/>
      <w:divBdr>
        <w:top w:val="none" w:sz="0" w:space="0" w:color="auto"/>
        <w:left w:val="none" w:sz="0" w:space="0" w:color="auto"/>
        <w:bottom w:val="none" w:sz="0" w:space="0" w:color="auto"/>
        <w:right w:val="none" w:sz="0" w:space="0" w:color="auto"/>
      </w:divBdr>
    </w:div>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36792">
      <w:bodyDiv w:val="1"/>
      <w:marLeft w:val="0"/>
      <w:marRight w:val="0"/>
      <w:marTop w:val="0"/>
      <w:marBottom w:val="0"/>
      <w:divBdr>
        <w:top w:val="none" w:sz="0" w:space="0" w:color="auto"/>
        <w:left w:val="none" w:sz="0" w:space="0" w:color="auto"/>
        <w:bottom w:val="none" w:sz="0" w:space="0" w:color="auto"/>
        <w:right w:val="none" w:sz="0" w:space="0" w:color="auto"/>
      </w:divBdr>
    </w:div>
    <w:div w:id="1334260023">
      <w:bodyDiv w:val="1"/>
      <w:marLeft w:val="0"/>
      <w:marRight w:val="0"/>
      <w:marTop w:val="0"/>
      <w:marBottom w:val="0"/>
      <w:divBdr>
        <w:top w:val="none" w:sz="0" w:space="0" w:color="auto"/>
        <w:left w:val="none" w:sz="0" w:space="0" w:color="auto"/>
        <w:bottom w:val="none" w:sz="0" w:space="0" w:color="auto"/>
        <w:right w:val="none" w:sz="0" w:space="0" w:color="auto"/>
      </w:divBdr>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3799692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PATRNOGIĆ, Verica</Reference>
    <Case_x0020_Year xmlns="63130c8a-8d1f-4e28-8ee3-43603ca9ef3b">2009</Case_x0020_Year>
    <Case_x0020_Status xmlns="16f2acb5-7363-4076-9084-069fc3bb4325">CASE CLOSED</Case_x0020_Status>
    <Date_x0020_of_x0020_Adoption xmlns="16f2acb5-7363-4076-9084-069fc3bb4325">2014-10-16T22:00:00+00:00</Date_x0020_of_x0020_Adoption>
    <Case_x0020_Number xmlns="16f2acb5-7363-4076-9084-069fc3bb4325">252/09</Case_x0020_Number>
    <Type_x0020_of_x0020_Document xmlns="16f2acb5-7363-4076-9084-069fc3bb4325">Opinion</Type_x0020_of_x0020_Document>
    <_dlc_DocId xmlns="b9fab99d-1571-47f6-8995-3a195ef041f8">M5JDUUKXSQ5W-25-1050</_dlc_DocId>
    <_dlc_DocIdUrl xmlns="b9fab99d-1571-47f6-8995-3a195ef041f8">
      <Url>http://www.unmikonline.org/hrap/Eng/_layouts/DocIdRedir.aspx?ID=M5JDUUKXSQ5W-25-1050</Url>
      <Description>M5JDUUKXSQ5W-25-1050</Description>
    </_dlc_DocIdUrl>
  </documentManagement>
</p:properties>
</file>

<file path=customXml/itemProps1.xml><?xml version="1.0" encoding="utf-8"?>
<ds:datastoreItem xmlns:ds="http://schemas.openxmlformats.org/officeDocument/2006/customXml" ds:itemID="{4CBCAB0E-9B73-4A15-A2D1-AA0246BF1F18}"/>
</file>

<file path=customXml/itemProps2.xml><?xml version="1.0" encoding="utf-8"?>
<ds:datastoreItem xmlns:ds="http://schemas.openxmlformats.org/officeDocument/2006/customXml" ds:itemID="{4D09F338-D4D8-44CE-814E-E3512284B141}"/>
</file>

<file path=customXml/itemProps3.xml><?xml version="1.0" encoding="utf-8"?>
<ds:datastoreItem xmlns:ds="http://schemas.openxmlformats.org/officeDocument/2006/customXml" ds:itemID="{344CD785-31BF-4CF0-A8E8-2BC9BA958DBC}"/>
</file>

<file path=customXml/itemProps4.xml><?xml version="1.0" encoding="utf-8"?>
<ds:datastoreItem xmlns:ds="http://schemas.openxmlformats.org/officeDocument/2006/customXml" ds:itemID="{ABC7E033-157F-4535-B7FA-397EF4EBCA52}"/>
</file>

<file path=customXml/itemProps5.xml><?xml version="1.0" encoding="utf-8"?>
<ds:datastoreItem xmlns:ds="http://schemas.openxmlformats.org/officeDocument/2006/customXml" ds:itemID="{12DC1FE7-29CE-47CB-B1D7-6BCA272F0868}"/>
</file>

<file path=docProps/app.xml><?xml version="1.0" encoding="utf-8"?>
<Properties xmlns="http://schemas.openxmlformats.org/officeDocument/2006/extended-properties" xmlns:vt="http://schemas.openxmlformats.org/officeDocument/2006/docPropsVTypes">
  <Template>Normal</Template>
  <TotalTime>0</TotalTime>
  <Pages>27</Pages>
  <Words>11643</Words>
  <Characters>66366</Characters>
  <Application>Microsoft Office Word</Application>
  <DocSecurity>0</DocSecurity>
  <Lines>553</Lines>
  <Paragraphs>155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77854</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2014-10-10T06:58:00Z</cp:lastPrinted>
  <dcterms:created xsi:type="dcterms:W3CDTF">2014-12-18T12:50:00Z</dcterms:created>
  <dcterms:modified xsi:type="dcterms:W3CDTF">2014-12-18T12:50:00Z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24e46a3e-e72a-4618-b1b6-fc27e2f8dd78</vt:lpwstr>
  </property>
</Properties>
</file>